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4649"/>
      </w:tblGrid>
      <w:tr w:rsidR="005811F1" w:rsidTr="005811F1">
        <w:trPr>
          <w:trHeight w:hRule="exact" w:val="3600"/>
        </w:trPr>
        <w:tc>
          <w:tcPr>
            <w:tcW w:w="5102" w:type="dxa"/>
          </w:tcPr>
          <w:p w:rsidR="005811F1" w:rsidRDefault="005811F1" w:rsidP="00CA0418">
            <w:pPr>
              <w:rPr>
                <w:b/>
                <w:snapToGrid w:val="0"/>
                <w:color w:val="000000"/>
                <w:sz w:val="14"/>
                <w:szCs w:val="0"/>
                <w:u w:color="000000"/>
              </w:rPr>
            </w:pPr>
            <w:bookmarkStart w:id="0" w:name="_GoBack"/>
            <w:bookmarkEnd w:id="0"/>
          </w:p>
          <w:p w:rsidR="005811F1" w:rsidRDefault="005811F1" w:rsidP="00CA041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811F1" w:rsidRDefault="005811F1" w:rsidP="00CA0418">
            <w:pPr>
              <w:rPr>
                <w:b/>
                <w:snapToGrid w:val="0"/>
                <w:color w:val="000000"/>
                <w:sz w:val="12"/>
                <w:szCs w:val="0"/>
                <w:u w:color="000000"/>
              </w:rPr>
            </w:pPr>
          </w:p>
          <w:p w:rsidR="005811F1" w:rsidRDefault="005811F1" w:rsidP="00CA0418">
            <w:pPr>
              <w:rPr>
                <w:b/>
                <w:snapToGrid w:val="0"/>
                <w:color w:val="000000"/>
                <w:szCs w:val="0"/>
                <w:u w:color="000000"/>
              </w:rPr>
            </w:pPr>
            <w:r>
              <w:rPr>
                <w:b/>
                <w:snapToGrid w:val="0"/>
                <w:color w:val="000000"/>
                <w:szCs w:val="0"/>
                <w:u w:color="000000"/>
              </w:rPr>
              <w:t>Ergeht per Themenmonitor an:</w:t>
            </w:r>
          </w:p>
          <w:p w:rsidR="005811F1" w:rsidRPr="005811F1" w:rsidRDefault="005811F1" w:rsidP="00CA0418">
            <w:r w:rsidRPr="005811F1">
              <w:t>1) alle Wirtschaftskammern</w:t>
            </w:r>
          </w:p>
          <w:p w:rsidR="005811F1" w:rsidRPr="005811F1" w:rsidRDefault="005811F1" w:rsidP="00CA0418">
            <w:r w:rsidRPr="005811F1">
              <w:t>2) alle Bundessparten</w:t>
            </w:r>
          </w:p>
          <w:p w:rsidR="005811F1" w:rsidRDefault="005811F1" w:rsidP="00CA0418">
            <w:pPr>
              <w:rPr>
                <w:b/>
              </w:rPr>
            </w:pPr>
          </w:p>
          <w:p w:rsidR="005811F1" w:rsidRDefault="005811F1" w:rsidP="00CA0418">
            <w:pPr>
              <w:rPr>
                <w:b/>
              </w:rPr>
            </w:pPr>
          </w:p>
          <w:p w:rsidR="005811F1" w:rsidRDefault="005811F1" w:rsidP="00CA0418">
            <w:pPr>
              <w:rPr>
                <w:b/>
              </w:rPr>
            </w:pPr>
          </w:p>
          <w:p w:rsidR="005811F1" w:rsidRDefault="005811F1" w:rsidP="00CA0418">
            <w:pPr>
              <w:rPr>
                <w:b/>
              </w:rPr>
            </w:pPr>
          </w:p>
        </w:tc>
        <w:tc>
          <w:tcPr>
            <w:tcW w:w="4649" w:type="dxa"/>
          </w:tcPr>
          <w:p w:rsidR="005811F1" w:rsidRDefault="005811F1" w:rsidP="005811F1">
            <w:pPr>
              <w:spacing w:line="220" w:lineRule="atLeast"/>
              <w:jc w:val="right"/>
              <w:rPr>
                <w:b/>
                <w:snapToGrid w:val="0"/>
                <w:color w:val="000000"/>
                <w:sz w:val="6"/>
                <w:szCs w:val="0"/>
                <w:u w:color="000000"/>
              </w:rPr>
            </w:pPr>
          </w:p>
          <w:p w:rsidR="005811F1" w:rsidRDefault="005811F1" w:rsidP="005811F1">
            <w:pPr>
              <w:spacing w:line="220" w:lineRule="atLeast"/>
              <w:jc w:val="right"/>
              <w:rPr>
                <w:b/>
              </w:rPr>
            </w:pPr>
          </w:p>
          <w:p w:rsidR="005811F1" w:rsidRDefault="005811F1" w:rsidP="005811F1">
            <w:pPr>
              <w:spacing w:line="220" w:lineRule="atLeast"/>
              <w:jc w:val="right"/>
              <w:rPr>
                <w:b/>
              </w:rPr>
            </w:pPr>
          </w:p>
          <w:p w:rsidR="005811F1" w:rsidRDefault="005811F1" w:rsidP="005811F1">
            <w:pPr>
              <w:spacing w:line="260" w:lineRule="atLeast"/>
              <w:jc w:val="right"/>
              <w:rPr>
                <w:b/>
                <w:snapToGrid w:val="0"/>
                <w:color w:val="000000"/>
                <w:sz w:val="18"/>
                <w:szCs w:val="0"/>
                <w:u w:color="000000"/>
              </w:rPr>
            </w:pPr>
            <w:r>
              <w:rPr>
                <w:b/>
                <w:snapToGrid w:val="0"/>
                <w:color w:val="000000"/>
                <w:sz w:val="18"/>
                <w:szCs w:val="0"/>
                <w:u w:color="000000"/>
              </w:rPr>
              <w:t>Abteilung für Umwelt- und Energiepolitik</w:t>
            </w:r>
            <w:bookmarkStart w:id="1" w:name="abs1"/>
            <w:bookmarkEnd w:id="1"/>
          </w:p>
          <w:p w:rsidR="005811F1" w:rsidRPr="005811F1" w:rsidRDefault="005811F1" w:rsidP="005811F1">
            <w:pPr>
              <w:spacing w:line="260" w:lineRule="atLeast"/>
              <w:jc w:val="right"/>
              <w:rPr>
                <w:sz w:val="20"/>
              </w:rPr>
            </w:pPr>
            <w:proofErr w:type="spellStart"/>
            <w:r w:rsidRPr="005811F1">
              <w:rPr>
                <w:sz w:val="20"/>
              </w:rPr>
              <w:t>Wiedner</w:t>
            </w:r>
            <w:proofErr w:type="spellEnd"/>
            <w:r w:rsidRPr="005811F1">
              <w:rPr>
                <w:sz w:val="20"/>
              </w:rPr>
              <w:t xml:space="preserve"> Hauptstraße 63 | Postfach 189</w:t>
            </w:r>
          </w:p>
          <w:p w:rsidR="005811F1" w:rsidRPr="005811F1" w:rsidRDefault="005811F1" w:rsidP="005811F1">
            <w:pPr>
              <w:spacing w:line="260" w:lineRule="atLeast"/>
              <w:jc w:val="right"/>
              <w:rPr>
                <w:sz w:val="20"/>
              </w:rPr>
            </w:pPr>
            <w:r w:rsidRPr="005811F1">
              <w:rPr>
                <w:sz w:val="20"/>
              </w:rPr>
              <w:t>1045 Wien</w:t>
            </w:r>
          </w:p>
          <w:p w:rsidR="005811F1" w:rsidRPr="005811F1" w:rsidRDefault="005811F1" w:rsidP="005811F1">
            <w:pPr>
              <w:spacing w:line="260" w:lineRule="atLeast"/>
              <w:jc w:val="right"/>
              <w:rPr>
                <w:sz w:val="20"/>
              </w:rPr>
            </w:pPr>
            <w:r w:rsidRPr="005811F1">
              <w:rPr>
                <w:sz w:val="20"/>
              </w:rPr>
              <w:t>T 05 90 900DW | F 05 90 900269</w:t>
            </w:r>
          </w:p>
          <w:p w:rsidR="005811F1" w:rsidRPr="005811F1" w:rsidRDefault="005811F1" w:rsidP="005811F1">
            <w:pPr>
              <w:spacing w:line="260" w:lineRule="atLeast"/>
              <w:jc w:val="right"/>
              <w:rPr>
                <w:sz w:val="20"/>
              </w:rPr>
            </w:pPr>
            <w:r w:rsidRPr="005811F1">
              <w:rPr>
                <w:sz w:val="20"/>
              </w:rPr>
              <w:t>E  up@wko.at</w:t>
            </w:r>
          </w:p>
          <w:p w:rsidR="005811F1" w:rsidRDefault="005811F1" w:rsidP="005811F1">
            <w:pPr>
              <w:spacing w:line="260" w:lineRule="atLeast"/>
              <w:jc w:val="right"/>
              <w:rPr>
                <w:b/>
              </w:rPr>
            </w:pPr>
            <w:r w:rsidRPr="005811F1">
              <w:rPr>
                <w:sz w:val="20"/>
              </w:rPr>
              <w:t>W  wko.at/</w:t>
            </w:r>
            <w:proofErr w:type="spellStart"/>
            <w:r w:rsidRPr="005811F1">
              <w:rPr>
                <w:sz w:val="20"/>
              </w:rPr>
              <w:t>up</w:t>
            </w:r>
            <w:proofErr w:type="spellEnd"/>
          </w:p>
        </w:tc>
      </w:tr>
    </w:tbl>
    <w:p w:rsidR="005811F1" w:rsidRDefault="005811F1" w:rsidP="005811F1">
      <w:pPr>
        <w:tabs>
          <w:tab w:val="left" w:pos="2892"/>
          <w:tab w:val="left" w:pos="5783"/>
          <w:tab w:val="left" w:pos="7655"/>
        </w:tabs>
        <w:rPr>
          <w:snapToGrid w:val="0"/>
          <w:color w:val="000000"/>
          <w:sz w:val="16"/>
          <w:szCs w:val="0"/>
          <w:u w:color="000000"/>
        </w:rPr>
      </w:pPr>
      <w:r>
        <w:rPr>
          <w:snapToGrid w:val="0"/>
          <w:color w:val="000000"/>
          <w:sz w:val="16"/>
          <w:szCs w:val="0"/>
          <w:u w:color="000000"/>
        </w:rPr>
        <w:t>Ihr Zeichen, Ihre Nachricht vom</w:t>
      </w:r>
      <w:r>
        <w:rPr>
          <w:snapToGrid w:val="0"/>
          <w:color w:val="000000"/>
          <w:sz w:val="16"/>
          <w:szCs w:val="0"/>
          <w:u w:color="000000"/>
        </w:rPr>
        <w:tab/>
        <w:t>Unser Zeichen, Sachbearbeiter</w:t>
      </w:r>
      <w:r>
        <w:rPr>
          <w:snapToGrid w:val="0"/>
          <w:color w:val="000000"/>
          <w:sz w:val="16"/>
          <w:szCs w:val="0"/>
          <w:u w:color="000000"/>
        </w:rPr>
        <w:tab/>
        <w:t>Durchwahl</w:t>
      </w:r>
      <w:r>
        <w:rPr>
          <w:snapToGrid w:val="0"/>
          <w:color w:val="000000"/>
          <w:sz w:val="16"/>
          <w:szCs w:val="0"/>
          <w:u w:color="000000"/>
        </w:rPr>
        <w:tab/>
        <w:t>Datum</w:t>
      </w:r>
    </w:p>
    <w:p w:rsidR="005811F1" w:rsidRDefault="005811F1" w:rsidP="005811F1">
      <w:pPr>
        <w:tabs>
          <w:tab w:val="left" w:pos="2892"/>
          <w:tab w:val="left" w:pos="5783"/>
          <w:tab w:val="left" w:pos="7655"/>
        </w:tabs>
        <w:rPr>
          <w:snapToGrid w:val="0"/>
          <w:color w:val="000000"/>
          <w:szCs w:val="0"/>
          <w:u w:color="000000"/>
        </w:rPr>
      </w:pPr>
      <w:r w:rsidRPr="005811F1">
        <w:rPr>
          <w:snapToGrid w:val="0"/>
          <w:color w:val="000000"/>
          <w:szCs w:val="0"/>
          <w:u w:color="000000"/>
        </w:rPr>
        <w:tab/>
        <w:t>Up/</w:t>
      </w:r>
      <w:proofErr w:type="spellStart"/>
      <w:r w:rsidRPr="005811F1">
        <w:rPr>
          <w:snapToGrid w:val="0"/>
          <w:color w:val="000000"/>
          <w:szCs w:val="0"/>
          <w:u w:color="000000"/>
        </w:rPr>
        <w:t>Wi</w:t>
      </w:r>
      <w:proofErr w:type="spellEnd"/>
      <w:r w:rsidRPr="005811F1">
        <w:rPr>
          <w:snapToGrid w:val="0"/>
          <w:color w:val="000000"/>
          <w:szCs w:val="0"/>
          <w:u w:color="000000"/>
        </w:rPr>
        <w:t>/Mi</w:t>
      </w:r>
      <w:r w:rsidRPr="005811F1">
        <w:rPr>
          <w:snapToGrid w:val="0"/>
          <w:color w:val="000000"/>
          <w:szCs w:val="0"/>
          <w:u w:color="000000"/>
        </w:rPr>
        <w:tab/>
        <w:t>3581</w:t>
      </w:r>
      <w:r w:rsidRPr="005811F1">
        <w:rPr>
          <w:snapToGrid w:val="0"/>
          <w:color w:val="000000"/>
          <w:szCs w:val="0"/>
          <w:u w:color="000000"/>
        </w:rPr>
        <w:tab/>
        <w:t>15.12.2014</w:t>
      </w:r>
    </w:p>
    <w:p w:rsidR="005811F1" w:rsidRPr="005811F1" w:rsidRDefault="005811F1" w:rsidP="005811F1">
      <w:pPr>
        <w:tabs>
          <w:tab w:val="left" w:pos="2892"/>
          <w:tab w:val="left" w:pos="5783"/>
          <w:tab w:val="left" w:pos="7655"/>
        </w:tabs>
        <w:rPr>
          <w:snapToGrid w:val="0"/>
          <w:color w:val="000000"/>
          <w:szCs w:val="0"/>
          <w:u w:color="000000"/>
        </w:rPr>
      </w:pPr>
      <w:r>
        <w:rPr>
          <w:snapToGrid w:val="0"/>
          <w:color w:val="000000"/>
          <w:szCs w:val="0"/>
          <w:u w:color="000000"/>
        </w:rPr>
        <w:tab/>
        <w:t>Eli Widecki MSc</w:t>
      </w:r>
    </w:p>
    <w:p w:rsidR="005811F1" w:rsidRDefault="005811F1" w:rsidP="005811F1">
      <w:pPr>
        <w:rPr>
          <w:b/>
        </w:rPr>
      </w:pPr>
    </w:p>
    <w:p w:rsidR="005811F1" w:rsidRDefault="005811F1" w:rsidP="005811F1">
      <w:pPr>
        <w:rPr>
          <w:b/>
        </w:rPr>
      </w:pPr>
    </w:p>
    <w:p w:rsidR="005811F1" w:rsidRDefault="005811F1" w:rsidP="005811F1">
      <w:pPr>
        <w:rPr>
          <w:b/>
        </w:rPr>
      </w:pPr>
    </w:p>
    <w:p w:rsidR="006C519C" w:rsidRPr="00A05C69" w:rsidRDefault="006228C6" w:rsidP="00CA0418">
      <w:pPr>
        <w:rPr>
          <w:b/>
        </w:rPr>
      </w:pPr>
      <w:r>
        <w:rPr>
          <w:b/>
        </w:rPr>
        <w:t xml:space="preserve">Begutachtung </w:t>
      </w:r>
      <w:r w:rsidR="00D7712B" w:rsidRPr="00A05C69">
        <w:rPr>
          <w:b/>
        </w:rPr>
        <w:t xml:space="preserve">zum Entwurf einer Novelle des </w:t>
      </w:r>
      <w:proofErr w:type="spellStart"/>
      <w:r w:rsidR="00D7712B" w:rsidRPr="00A05C69">
        <w:rPr>
          <w:b/>
        </w:rPr>
        <w:t>Emissionszertifikategesetzes</w:t>
      </w:r>
      <w:proofErr w:type="spellEnd"/>
      <w:r w:rsidR="00D7712B" w:rsidRPr="00A05C69">
        <w:rPr>
          <w:b/>
        </w:rPr>
        <w:t xml:space="preserve"> 2011</w:t>
      </w:r>
      <w:r w:rsidR="00F12582">
        <w:rPr>
          <w:b/>
        </w:rPr>
        <w:t xml:space="preserve"> </w:t>
      </w:r>
      <w:r w:rsidR="00F12582" w:rsidRPr="009A5E91">
        <w:rPr>
          <w:b/>
        </w:rPr>
        <w:t>gemäß EU-VO Nr. 421/2014</w:t>
      </w:r>
      <w:r w:rsidR="00D66C52">
        <w:rPr>
          <w:b/>
        </w:rPr>
        <w:t xml:space="preserve"> („ETS-Luftfahrt“) sowie zur Behebung einiger weiterer Umsetzungsmängel</w:t>
      </w:r>
      <w:r w:rsidR="00323AC2">
        <w:rPr>
          <w:b/>
        </w:rPr>
        <w:t xml:space="preserve"> auch in Bezug auf ETS-Anlagen</w:t>
      </w:r>
    </w:p>
    <w:p w:rsidR="00D7712B" w:rsidRDefault="00D7712B">
      <w:pPr>
        <w:rPr>
          <w:b/>
        </w:rPr>
      </w:pPr>
    </w:p>
    <w:p w:rsidR="00A37ABA" w:rsidRDefault="00A37ABA">
      <w:pPr>
        <w:rPr>
          <w:b/>
        </w:rPr>
      </w:pPr>
    </w:p>
    <w:p w:rsidR="00A37ABA" w:rsidRPr="00A37ABA" w:rsidRDefault="00A37ABA">
      <w:r w:rsidRPr="00A37ABA">
        <w:t>Sehr geehrte Damen und Herren!</w:t>
      </w:r>
    </w:p>
    <w:p w:rsidR="00A37ABA" w:rsidRDefault="00A37ABA">
      <w:pPr>
        <w:rPr>
          <w:b/>
        </w:rPr>
      </w:pPr>
    </w:p>
    <w:p w:rsidR="00DC55A3" w:rsidRDefault="00DC55A3">
      <w:r>
        <w:t>Die EZG-Änderung dient primär der Umsetzung bzw. Anwendung der Beschlussinhalte der EU-VO N</w:t>
      </w:r>
      <w:r w:rsidR="009D0D1D">
        <w:t>r</w:t>
      </w:r>
      <w:r>
        <w:t>. 421/2014</w:t>
      </w:r>
      <w:r w:rsidR="005B4BE5">
        <w:t xml:space="preserve"> (vom 16. April 2014)</w:t>
      </w:r>
      <w:r w:rsidR="00252611">
        <w:t>. Diese</w:t>
      </w:r>
      <w:r>
        <w:t xml:space="preserve"> EU-VO (ursprünglic</w:t>
      </w:r>
      <w:r w:rsidR="001E5563">
        <w:t>h vorgeschlagen als Richtlinie)</w:t>
      </w:r>
      <w:r>
        <w:t xml:space="preserve"> </w:t>
      </w:r>
      <w:r w:rsidR="001E5563">
        <w:t>ä</w:t>
      </w:r>
      <w:r w:rsidR="001E5563">
        <w:t>n</w:t>
      </w:r>
      <w:r w:rsidR="001E5563">
        <w:t xml:space="preserve">dert </w:t>
      </w:r>
      <w:r>
        <w:t>die EU-Emissionshandels-Richtlinie 2003/87/EG bezüg</w:t>
      </w:r>
      <w:r w:rsidR="001E5563">
        <w:t>lich der Luftfahrt im ETS</w:t>
      </w:r>
      <w:r w:rsidR="00CA0418">
        <w:t xml:space="preserve"> mit der Kernbestimmung, die sogenannte </w:t>
      </w:r>
      <w:proofErr w:type="spellStart"/>
      <w:r w:rsidR="00CA0418">
        <w:t>Stop</w:t>
      </w:r>
      <w:proofErr w:type="spellEnd"/>
      <w:r w:rsidR="00CA0418">
        <w:t>-</w:t>
      </w:r>
      <w:proofErr w:type="spellStart"/>
      <w:r w:rsidR="00CA0418">
        <w:t>the</w:t>
      </w:r>
      <w:proofErr w:type="spellEnd"/>
      <w:r w:rsidR="00CA0418">
        <w:t>-</w:t>
      </w:r>
      <w:proofErr w:type="spellStart"/>
      <w:r w:rsidR="00CA0418">
        <w:t>clock</w:t>
      </w:r>
      <w:proofErr w:type="spellEnd"/>
      <w:r w:rsidR="00CA0418">
        <w:t>-Regelung bis 2016 zu verlängern</w:t>
      </w:r>
      <w:r>
        <w:t>.</w:t>
      </w:r>
      <w:r w:rsidR="00CA0418">
        <w:t xml:space="preserve"> Zusätzlich sind einige Bestimmungen der EZG-Novelle von Bedeutung für Anlagen bzw. für </w:t>
      </w:r>
      <w:r w:rsidR="00323AC2">
        <w:t xml:space="preserve">beide Gruppen, also </w:t>
      </w:r>
      <w:r w:rsidR="00CA0418">
        <w:t>Anlagen</w:t>
      </w:r>
      <w:r w:rsidR="00323AC2">
        <w:t>betreiber</w:t>
      </w:r>
      <w:r w:rsidR="00CA0418">
        <w:t xml:space="preserve"> und Luftfahrtunternehmen.</w:t>
      </w:r>
    </w:p>
    <w:p w:rsidR="00740A5B" w:rsidRDefault="00740A5B" w:rsidP="00740A5B"/>
    <w:p w:rsidR="009D0D1D" w:rsidRDefault="009D0D1D">
      <w:r w:rsidRPr="003D4288">
        <w:t>Der sogenannte „</w:t>
      </w:r>
      <w:proofErr w:type="spellStart"/>
      <w:r w:rsidRPr="003D4288">
        <w:t>Stop</w:t>
      </w:r>
      <w:proofErr w:type="spellEnd"/>
      <w:r w:rsidRPr="003D4288">
        <w:t>-</w:t>
      </w:r>
      <w:proofErr w:type="spellStart"/>
      <w:r w:rsidRPr="003D4288">
        <w:t>the</w:t>
      </w:r>
      <w:proofErr w:type="spellEnd"/>
      <w:r w:rsidRPr="003D4288">
        <w:t>-</w:t>
      </w:r>
      <w:proofErr w:type="spellStart"/>
      <w:r w:rsidRPr="003D4288">
        <w:t>clock</w:t>
      </w:r>
      <w:proofErr w:type="spellEnd"/>
      <w:r w:rsidRPr="003D4288">
        <w:t xml:space="preserve">“-Beschluss </w:t>
      </w:r>
      <w:r w:rsidR="00A222A0" w:rsidRPr="003D4288">
        <w:t xml:space="preserve">377/2013/EU </w:t>
      </w:r>
      <w:r w:rsidRPr="003D4288">
        <w:t>sollte 201</w:t>
      </w:r>
      <w:r w:rsidR="006A492F">
        <w:t>2-</w:t>
      </w:r>
      <w:r>
        <w:t>Flüge zwischen der EU und Drittstaaten aus dem ETS heraushalten. Dies mit dem Zweck, auf internationale</w:t>
      </w:r>
      <w:r w:rsidR="00811DD7">
        <w:t>r</w:t>
      </w:r>
      <w:r w:rsidR="00E147FD">
        <w:t xml:space="preserve"> Luftfahrtebene – </w:t>
      </w:r>
      <w:r>
        <w:t>der</w:t>
      </w:r>
      <w:r w:rsidR="00E147FD">
        <w:t xml:space="preserve"> </w:t>
      </w:r>
      <w:r w:rsidR="008B5074" w:rsidRPr="008B5074">
        <w:t>Internati</w:t>
      </w:r>
      <w:r w:rsidR="00E147FD">
        <w:t xml:space="preserve">onal </w:t>
      </w:r>
      <w:proofErr w:type="spellStart"/>
      <w:r w:rsidR="00E147FD">
        <w:t>Civil</w:t>
      </w:r>
      <w:proofErr w:type="spellEnd"/>
      <w:r w:rsidR="00E147FD">
        <w:t xml:space="preserve"> Aviation </w:t>
      </w:r>
      <w:proofErr w:type="spellStart"/>
      <w:r w:rsidR="00E147FD">
        <w:t>Organizatio</w:t>
      </w:r>
      <w:r w:rsidR="00173755">
        <w:t>n</w:t>
      </w:r>
      <w:proofErr w:type="spellEnd"/>
      <w:r w:rsidR="00E147FD">
        <w:t xml:space="preserve"> (</w:t>
      </w:r>
      <w:r>
        <w:t>ICAO)</w:t>
      </w:r>
      <w:r w:rsidR="00E147FD">
        <w:t xml:space="preserve"> –</w:t>
      </w:r>
      <w:r>
        <w:t xml:space="preserve"> eine</w:t>
      </w:r>
      <w:r w:rsidR="00E147FD">
        <w:t xml:space="preserve"> </w:t>
      </w:r>
      <w:r>
        <w:t>Einigung über ein weltweites Trei</w:t>
      </w:r>
      <w:r>
        <w:t>b</w:t>
      </w:r>
      <w:r>
        <w:t xml:space="preserve">hausgasregime für die Luftfahrt zu ermöglichen. </w:t>
      </w:r>
    </w:p>
    <w:p w:rsidR="009D0D1D" w:rsidRDefault="009D0D1D"/>
    <w:p w:rsidR="00DC55A3" w:rsidRDefault="009D0D1D">
      <w:r>
        <w:t xml:space="preserve">Die ICAO hat in ihren Beschlüssen im Herbst 2013 zwar kein Regime vorgeschlagen, aber eines für 2016 (das ab 2020 gelten soll) </w:t>
      </w:r>
      <w:r w:rsidR="006855DE">
        <w:t>angekündigt</w:t>
      </w:r>
      <w:r>
        <w:t>. Daher ging es um ein ausgewogenes Signal der EU</w:t>
      </w:r>
      <w:r w:rsidR="006855DE">
        <w:t xml:space="preserve"> an</w:t>
      </w:r>
      <w:r>
        <w:t xml:space="preserve"> die </w:t>
      </w:r>
      <w:r w:rsidR="006855DE">
        <w:t xml:space="preserve">mächtigen </w:t>
      </w:r>
      <w:r>
        <w:t>Drittstaaten</w:t>
      </w:r>
      <w:r w:rsidR="006855DE">
        <w:t xml:space="preserve"> (China, Indien, Russland, USA, Naher Osten u.a.)</w:t>
      </w:r>
      <w:r>
        <w:t>, die eine volle EU-ETS-Anwendung auf internationale Flüge zwischen der EU und dem Rest der Welt massiv b</w:t>
      </w:r>
      <w:r>
        <w:t>e</w:t>
      </w:r>
      <w:r>
        <w:t xml:space="preserve">kämpft haben. Im Raum standen sogar Retorsionsmaßnahmen </w:t>
      </w:r>
      <w:r w:rsidR="006855DE">
        <w:t xml:space="preserve">gegen </w:t>
      </w:r>
      <w:r w:rsidR="000301BD">
        <w:t>EU-Fluglinien bezüglich</w:t>
      </w:r>
      <w:r w:rsidR="00F94592">
        <w:t xml:space="preserve"> Rechten </w:t>
      </w:r>
      <w:r w:rsidR="00781C10">
        <w:t>sowie</w:t>
      </w:r>
      <w:r w:rsidR="00F94592">
        <w:t xml:space="preserve"> Gebühren für Landung und Überflug.</w:t>
      </w:r>
      <w:r w:rsidR="00CA0418">
        <w:t xml:space="preserve"> Die Verlängerung der </w:t>
      </w:r>
      <w:proofErr w:type="spellStart"/>
      <w:r w:rsidR="00CA0418">
        <w:t>Stop</w:t>
      </w:r>
      <w:proofErr w:type="spellEnd"/>
      <w:r w:rsidR="00CA0418">
        <w:t>-</w:t>
      </w:r>
      <w:proofErr w:type="spellStart"/>
      <w:r w:rsidR="00CA0418">
        <w:t>the</w:t>
      </w:r>
      <w:proofErr w:type="spellEnd"/>
      <w:r w:rsidR="00CA0418">
        <w:t>-</w:t>
      </w:r>
      <w:proofErr w:type="spellStart"/>
      <w:r w:rsidR="00CA0418">
        <w:t>clock</w:t>
      </w:r>
      <w:proofErr w:type="spellEnd"/>
      <w:r w:rsidR="00CA0418">
        <w:t>-Regelung wird als ein Signal der Entspannung interpretiert.</w:t>
      </w:r>
      <w:r w:rsidR="000F1840">
        <w:t xml:space="preserve"> Dieses ist auch aus Sicht der WKÖ zu begrüßen.</w:t>
      </w:r>
    </w:p>
    <w:p w:rsidR="009D0D1D" w:rsidRDefault="009D0D1D"/>
    <w:p w:rsidR="00B4506C" w:rsidRDefault="00B4506C">
      <w:r>
        <w:t xml:space="preserve">Die </w:t>
      </w:r>
      <w:r w:rsidR="00CA0418">
        <w:t>EZG-</w:t>
      </w:r>
      <w:r>
        <w:t xml:space="preserve">Novelle soll auch zum Anlass genommen werden, um Mängel in der österreichischen </w:t>
      </w:r>
      <w:r w:rsidR="00817233">
        <w:t>U</w:t>
      </w:r>
      <w:r>
        <w:t>m</w:t>
      </w:r>
      <w:r>
        <w:t>setzung der Emissionshandel</w:t>
      </w:r>
      <w:r w:rsidR="00CA0418">
        <w:t>s</w:t>
      </w:r>
      <w:r>
        <w:t xml:space="preserve">-Richtlinie zu beheben, die von der Europäischen Kommission im Rahmen einer Pilot-Anfrage beanstandet wurden. </w:t>
      </w:r>
    </w:p>
    <w:p w:rsidR="00A1085A" w:rsidRDefault="00A1085A"/>
    <w:p w:rsidR="007A6A26" w:rsidRPr="00A37ABA" w:rsidRDefault="00BE5B72" w:rsidP="00AC441A">
      <w:r w:rsidRPr="00A37ABA">
        <w:t xml:space="preserve">Zentrale Änderungen </w:t>
      </w:r>
      <w:r w:rsidR="00FC1EB8" w:rsidRPr="00A37ABA">
        <w:t>durch die Novellierung</w:t>
      </w:r>
      <w:r w:rsidR="00A37ABA">
        <w:t>:</w:t>
      </w:r>
    </w:p>
    <w:p w:rsidR="00BE5B72" w:rsidRDefault="00BE5B72" w:rsidP="00BE5B72"/>
    <w:p w:rsidR="00CA0418" w:rsidRPr="00A37ABA" w:rsidRDefault="00CA0418" w:rsidP="00BE5B72">
      <w:pPr>
        <w:rPr>
          <w:b/>
        </w:rPr>
      </w:pPr>
      <w:r w:rsidRPr="00A37ABA">
        <w:rPr>
          <w:b/>
        </w:rPr>
        <w:t>Ausschließlich für die Luftfahrt:</w:t>
      </w:r>
    </w:p>
    <w:p w:rsidR="00CA0418" w:rsidRPr="00CA0418" w:rsidRDefault="00CA0418" w:rsidP="00BE5B72">
      <w:pPr>
        <w:rPr>
          <w:b/>
        </w:rPr>
      </w:pPr>
    </w:p>
    <w:p w:rsidR="00672786" w:rsidRDefault="00E70937" w:rsidP="00672786">
      <w:pPr>
        <w:pStyle w:val="Listenabsatz"/>
        <w:numPr>
          <w:ilvl w:val="0"/>
          <w:numId w:val="8"/>
        </w:numPr>
      </w:pPr>
      <w:r w:rsidRPr="00672786">
        <w:rPr>
          <w:b/>
        </w:rPr>
        <w:t>Einschränkung der Emissionshandelsbestimmungen auf innereuropäische Flüge</w:t>
      </w:r>
      <w:r w:rsidR="00B72373" w:rsidRPr="00672786">
        <w:rPr>
          <w:b/>
        </w:rPr>
        <w:t xml:space="preserve">: </w:t>
      </w:r>
      <w:r w:rsidR="00A3486E" w:rsidRPr="00672786">
        <w:rPr>
          <w:b/>
        </w:rPr>
        <w:t>D</w:t>
      </w:r>
      <w:r w:rsidR="007A6A26" w:rsidRPr="00672786">
        <w:rPr>
          <w:b/>
        </w:rPr>
        <w:t>ie EU</w:t>
      </w:r>
      <w:r w:rsidR="00A3486E" w:rsidRPr="00672786">
        <w:rPr>
          <w:b/>
        </w:rPr>
        <w:t xml:space="preserve"> hat</w:t>
      </w:r>
      <w:r w:rsidR="007A6A26" w:rsidRPr="00672786">
        <w:rPr>
          <w:b/>
        </w:rPr>
        <w:t xml:space="preserve"> mit der EU-VO Nr. 421/2014 nunmehr die Fortsetzung des </w:t>
      </w:r>
      <w:proofErr w:type="spellStart"/>
      <w:r w:rsidR="007A6A26" w:rsidRPr="00672786">
        <w:rPr>
          <w:b/>
        </w:rPr>
        <w:t>Stop</w:t>
      </w:r>
      <w:proofErr w:type="spellEnd"/>
      <w:r w:rsidR="007A6A26" w:rsidRPr="00672786">
        <w:rPr>
          <w:b/>
        </w:rPr>
        <w:t>-</w:t>
      </w:r>
      <w:proofErr w:type="spellStart"/>
      <w:r w:rsidR="007A6A26" w:rsidRPr="00672786">
        <w:rPr>
          <w:b/>
        </w:rPr>
        <w:t>the</w:t>
      </w:r>
      <w:proofErr w:type="spellEnd"/>
      <w:r w:rsidR="007A6A26" w:rsidRPr="00672786">
        <w:rPr>
          <w:b/>
        </w:rPr>
        <w:t>-</w:t>
      </w:r>
      <w:proofErr w:type="spellStart"/>
      <w:r w:rsidR="007A6A26" w:rsidRPr="00672786">
        <w:rPr>
          <w:b/>
        </w:rPr>
        <w:t>clock</w:t>
      </w:r>
      <w:proofErr w:type="spellEnd"/>
      <w:r w:rsidR="007A6A26" w:rsidRPr="00672786">
        <w:rPr>
          <w:b/>
        </w:rPr>
        <w:t>-Beschlusses festgelegt.</w:t>
      </w:r>
      <w:r w:rsidR="007A6A26">
        <w:t xml:space="preserve"> Das heißt, </w:t>
      </w:r>
      <w:r w:rsidR="00AB2F3D">
        <w:t>das ETS</w:t>
      </w:r>
      <w:r w:rsidR="006855DE">
        <w:t>-</w:t>
      </w:r>
      <w:r w:rsidR="00AB2F3D">
        <w:t xml:space="preserve">Regime gilt bis Ende 2016 nicht für </w:t>
      </w:r>
      <w:r w:rsidR="007A6A26">
        <w:t xml:space="preserve">Drittstaatenflüge </w:t>
      </w:r>
      <w:r w:rsidR="00AB2F3D">
        <w:t xml:space="preserve">– folglich gilt es </w:t>
      </w:r>
      <w:r w:rsidR="007A6A26">
        <w:t>ausschließlich für</w:t>
      </w:r>
      <w:r w:rsidR="003A59FF">
        <w:t xml:space="preserve"> innereuropäische (d.h</w:t>
      </w:r>
      <w:r w:rsidR="007E02AE">
        <w:t>.</w:t>
      </w:r>
      <w:r w:rsidR="00EE75CC">
        <w:t xml:space="preserve"> E</w:t>
      </w:r>
      <w:r w:rsidR="003A59FF">
        <w:t xml:space="preserve">WR) </w:t>
      </w:r>
      <w:r w:rsidR="007A6A26">
        <w:t>Flüge</w:t>
      </w:r>
      <w:r w:rsidR="008A74CC">
        <w:t xml:space="preserve"> </w:t>
      </w:r>
      <w:r w:rsidR="007A6A26">
        <w:t>alle</w:t>
      </w:r>
      <w:r w:rsidR="008A74CC">
        <w:t>r</w:t>
      </w:r>
      <w:r w:rsidR="007A6A26">
        <w:t xml:space="preserve"> Fluglinien.</w:t>
      </w:r>
      <w:r w:rsidR="002B1425">
        <w:t xml:space="preserve"> </w:t>
      </w:r>
      <w:r w:rsidR="002B1425">
        <w:br/>
        <w:t>Ausnahme</w:t>
      </w:r>
      <w:r w:rsidR="006855DE">
        <w:t>n</w:t>
      </w:r>
      <w:r w:rsidR="002B1425">
        <w:t xml:space="preserve"> vom EU-ETS-Luftfahrt </w:t>
      </w:r>
      <w:r w:rsidR="006855DE">
        <w:t xml:space="preserve">wurden </w:t>
      </w:r>
      <w:r w:rsidR="002B1425">
        <w:t>f</w:t>
      </w:r>
      <w:r w:rsidR="002B1425" w:rsidRPr="004679CD">
        <w:t>ü</w:t>
      </w:r>
      <w:r w:rsidR="002B1425">
        <w:t xml:space="preserve">r EU-Gebiete in </w:t>
      </w:r>
      <w:r w:rsidR="002B1425" w:rsidRPr="004679CD">
        <w:t>ä</w:t>
      </w:r>
      <w:r w:rsidR="002B1425">
        <w:t>u</w:t>
      </w:r>
      <w:r w:rsidR="002B1425" w:rsidRPr="004679CD">
        <w:t>ß</w:t>
      </w:r>
      <w:r w:rsidR="002B1425">
        <w:t>erster Randlage gemäß Art</w:t>
      </w:r>
      <w:r w:rsidR="002B1425">
        <w:t>i</w:t>
      </w:r>
      <w:r w:rsidR="002B1425">
        <w:t>kel 349 AEUV (z</w:t>
      </w:r>
      <w:r w:rsidR="00DA3BBA">
        <w:t>.</w:t>
      </w:r>
      <w:r w:rsidR="002B1425">
        <w:t>B</w:t>
      </w:r>
      <w:r w:rsidR="00DA3BBA">
        <w:t>.</w:t>
      </w:r>
      <w:r w:rsidR="002B1425">
        <w:t xml:space="preserve"> </w:t>
      </w:r>
      <w:r w:rsidR="002B1425" w:rsidRPr="00DA0B55">
        <w:rPr>
          <w:rFonts w:cs="TimesNewRoman"/>
          <w:szCs w:val="22"/>
          <w:lang w:val="de-AT" w:eastAsia="en-US"/>
        </w:rPr>
        <w:t xml:space="preserve">französische </w:t>
      </w:r>
      <w:r w:rsidR="002B1425">
        <w:rPr>
          <w:rFonts w:cs="TimesNewRoman"/>
          <w:szCs w:val="22"/>
          <w:lang w:val="de-AT" w:eastAsia="en-US"/>
        </w:rPr>
        <w:t xml:space="preserve">Überseedepartements, Kanarischen Inseln, </w:t>
      </w:r>
      <w:r w:rsidR="002B1425" w:rsidRPr="00DA0B55">
        <w:rPr>
          <w:rFonts w:cs="TimesNewRoman"/>
          <w:szCs w:val="22"/>
          <w:lang w:val="de-AT" w:eastAsia="en-US"/>
        </w:rPr>
        <w:t>Azoren</w:t>
      </w:r>
      <w:r w:rsidR="002B1425">
        <w:rPr>
          <w:rFonts w:cs="TimesNewRoman"/>
          <w:szCs w:val="22"/>
          <w:lang w:val="de-AT" w:eastAsia="en-US"/>
        </w:rPr>
        <w:t>, Madeira</w:t>
      </w:r>
      <w:r w:rsidR="002B1425" w:rsidRPr="00DA0B55">
        <w:rPr>
          <w:rFonts w:cs="TimesNewRoman"/>
          <w:szCs w:val="22"/>
          <w:lang w:val="de-AT" w:eastAsia="en-US"/>
        </w:rPr>
        <w:t>)</w:t>
      </w:r>
      <w:r w:rsidR="00D561D6">
        <w:rPr>
          <w:rFonts w:cs="TimesNewRoman"/>
          <w:szCs w:val="22"/>
          <w:lang w:val="de-AT" w:eastAsia="en-US"/>
        </w:rPr>
        <w:t xml:space="preserve">, </w:t>
      </w:r>
      <w:proofErr w:type="spellStart"/>
      <w:r w:rsidR="00D561D6">
        <w:rPr>
          <w:rFonts w:cs="TimesNewRoman"/>
          <w:szCs w:val="22"/>
          <w:lang w:val="de-AT" w:eastAsia="en-US"/>
        </w:rPr>
        <w:t>vgl</w:t>
      </w:r>
      <w:proofErr w:type="spellEnd"/>
      <w:r w:rsidR="00D561D6">
        <w:rPr>
          <w:rFonts w:cs="TimesNewRoman"/>
          <w:szCs w:val="22"/>
          <w:lang w:val="de-AT" w:eastAsia="en-US"/>
        </w:rPr>
        <w:t xml:space="preserve"> § 3 Z 11 und neue Z 11a</w:t>
      </w:r>
      <w:r w:rsidR="00C8548A" w:rsidRPr="00672786">
        <w:rPr>
          <w:i/>
        </w:rPr>
        <w:t>.</w:t>
      </w:r>
      <w:r w:rsidR="00672786">
        <w:t xml:space="preserve"> </w:t>
      </w:r>
      <w:r w:rsidR="00D66C52">
        <w:br/>
      </w:r>
      <w:r w:rsidR="005F5FCF">
        <w:br/>
      </w:r>
      <w:r w:rsidR="0038097D">
        <w:rPr>
          <w:b/>
        </w:rPr>
        <w:t>WKÖ-</w:t>
      </w:r>
      <w:r w:rsidR="005F5FCF" w:rsidRPr="005F5FCF">
        <w:rPr>
          <w:b/>
        </w:rPr>
        <w:t>Anmerkung</w:t>
      </w:r>
      <w:r w:rsidR="005F5FCF">
        <w:t xml:space="preserve">: Kernbestimmung der Verlängerung von </w:t>
      </w:r>
      <w:proofErr w:type="spellStart"/>
      <w:r w:rsidR="005F5FCF">
        <w:t>Stop-the-clock</w:t>
      </w:r>
      <w:proofErr w:type="spellEnd"/>
      <w:r w:rsidR="005F5FCF">
        <w:t>, ist aus WKÖ-Sicht zu begrüßen.</w:t>
      </w:r>
    </w:p>
    <w:p w:rsidR="00672786" w:rsidRPr="00672786" w:rsidRDefault="00672786" w:rsidP="00672786">
      <w:pPr>
        <w:pStyle w:val="Listenabsatz"/>
        <w:ind w:left="360"/>
      </w:pPr>
    </w:p>
    <w:p w:rsidR="007B0FE8" w:rsidRDefault="00263817" w:rsidP="00CA0418">
      <w:pPr>
        <w:pStyle w:val="Listenabsatz"/>
        <w:numPr>
          <w:ilvl w:val="0"/>
          <w:numId w:val="8"/>
        </w:numPr>
      </w:pPr>
      <w:r w:rsidRPr="00672786">
        <w:rPr>
          <w:b/>
        </w:rPr>
        <w:t xml:space="preserve">Erleichterungen bei den Überwachungs- und Berichtspflichten </w:t>
      </w:r>
      <w:r w:rsidR="009D140D" w:rsidRPr="00672786">
        <w:rPr>
          <w:b/>
        </w:rPr>
        <w:t xml:space="preserve">für </w:t>
      </w:r>
      <w:r w:rsidR="005E5BD6" w:rsidRPr="00672786">
        <w:rPr>
          <w:b/>
        </w:rPr>
        <w:t>Kleinemittenten unter 25.000 Tonnen CO2-</w:t>
      </w:r>
      <w:r w:rsidR="009D140D" w:rsidRPr="00672786">
        <w:rPr>
          <w:b/>
        </w:rPr>
        <w:t>Emissionen</w:t>
      </w:r>
      <w:r w:rsidR="005E5BD6" w:rsidRPr="00672786">
        <w:rPr>
          <w:b/>
        </w:rPr>
        <w:t xml:space="preserve"> pro Jahr</w:t>
      </w:r>
      <w:r w:rsidR="009E1573" w:rsidRPr="009E1573">
        <w:t>.</w:t>
      </w:r>
      <w:r w:rsidR="003937C9">
        <w:t xml:space="preserve"> S</w:t>
      </w:r>
      <w:r w:rsidR="00423B1F" w:rsidRPr="009E1573">
        <w:t>ofern für die</w:t>
      </w:r>
      <w:r w:rsidR="00423B1F">
        <w:t xml:space="preserve"> Emissionsmeldungen die Daten der </w:t>
      </w:r>
      <w:proofErr w:type="spellStart"/>
      <w:r w:rsidR="00423B1F">
        <w:t>Eurocontrol</w:t>
      </w:r>
      <w:proofErr w:type="spellEnd"/>
      <w:r w:rsidR="00423B1F">
        <w:t xml:space="preserve">-Unterstützungseinrichtung </w:t>
      </w:r>
      <w:r w:rsidR="00A66F15">
        <w:t>für das Emission</w:t>
      </w:r>
      <w:r w:rsidR="003937C9">
        <w:t>s</w:t>
      </w:r>
      <w:r w:rsidR="00A66F15">
        <w:t xml:space="preserve">handelssystem der EU verwendet </w:t>
      </w:r>
      <w:r w:rsidR="00BA40A2">
        <w:t>werden</w:t>
      </w:r>
      <w:r w:rsidR="005B4F23">
        <w:t>, ist eine Verifizierung durch eine unabhängige Prüfeinrichtung nicht mehr erforde</w:t>
      </w:r>
      <w:r w:rsidR="005B4F23">
        <w:t>r</w:t>
      </w:r>
      <w:r w:rsidR="005B4F23">
        <w:t>lich</w:t>
      </w:r>
      <w:r w:rsidR="00D561D6">
        <w:t xml:space="preserve"> - </w:t>
      </w:r>
      <w:r w:rsidR="00DA3BBA">
        <w:t>v</w:t>
      </w:r>
      <w:r w:rsidR="00C8548A" w:rsidRPr="00DA3BBA">
        <w:t>gl. § 10, nach Abs. 5 wird Abs. 5a eingefügt.</w:t>
      </w:r>
      <w:r w:rsidR="00C8548A" w:rsidRPr="00D561D6">
        <w:t xml:space="preserve"> </w:t>
      </w:r>
      <w:r w:rsidR="00D66C52">
        <w:br/>
      </w:r>
      <w:r w:rsidR="0038097D">
        <w:br/>
      </w:r>
      <w:r w:rsidR="0038097D">
        <w:rPr>
          <w:b/>
        </w:rPr>
        <w:t>WKÖ-</w:t>
      </w:r>
      <w:r w:rsidR="0038097D" w:rsidRPr="0038097D">
        <w:rPr>
          <w:b/>
        </w:rPr>
        <w:t>Anmerkung</w:t>
      </w:r>
      <w:r w:rsidR="0038097D">
        <w:t>: Verwaltungserleichterung, ist aus WKÖ-Sicht zu begrüßen</w:t>
      </w:r>
    </w:p>
    <w:p w:rsidR="00CA0418" w:rsidRDefault="00CA0418" w:rsidP="00CA0418"/>
    <w:p w:rsidR="00CA0418" w:rsidRPr="00A37ABA" w:rsidRDefault="000F1840" w:rsidP="00CA0418">
      <w:pPr>
        <w:rPr>
          <w:b/>
        </w:rPr>
      </w:pPr>
      <w:r w:rsidRPr="00A37ABA">
        <w:rPr>
          <w:b/>
        </w:rPr>
        <w:t>Sowohl für die Luftfahrt als auch für Anlagen:</w:t>
      </w:r>
    </w:p>
    <w:p w:rsidR="000F1840" w:rsidRPr="000F1840" w:rsidRDefault="000F1840" w:rsidP="00CA0418">
      <w:pPr>
        <w:rPr>
          <w:b/>
        </w:rPr>
      </w:pPr>
    </w:p>
    <w:p w:rsidR="005F5FCF" w:rsidRDefault="0044222B" w:rsidP="005F5FCF">
      <w:pPr>
        <w:pStyle w:val="Listenabsatz"/>
        <w:numPr>
          <w:ilvl w:val="0"/>
          <w:numId w:val="8"/>
        </w:numPr>
      </w:pPr>
      <w:r w:rsidRPr="0044222B">
        <w:rPr>
          <w:b/>
        </w:rPr>
        <w:t>Ergänzung in § 14</w:t>
      </w:r>
      <w:r w:rsidR="00057010">
        <w:rPr>
          <w:b/>
        </w:rPr>
        <w:t>:</w:t>
      </w:r>
      <w:r w:rsidRPr="0044222B">
        <w:rPr>
          <w:b/>
        </w:rPr>
        <w:br/>
      </w:r>
      <w:r>
        <w:t>„</w:t>
      </w:r>
      <w:r w:rsidRPr="001F1284">
        <w:t>Unabhängige Prüfeinrichtungen für Emissionen aus Luftverkehrstätigkeiten und ab der</w:t>
      </w:r>
      <w:r>
        <w:t xml:space="preserve"> </w:t>
      </w:r>
      <w:r w:rsidRPr="001F1284">
        <w:t>Me</w:t>
      </w:r>
      <w:r w:rsidRPr="001F1284">
        <w:t>l</w:t>
      </w:r>
      <w:r w:rsidRPr="001F1284">
        <w:t xml:space="preserve">dung für die Emissionen des Jahres 2013 für die Prüfung von Emissionen von Anlagen </w:t>
      </w:r>
      <w:r w:rsidR="00D561D6" w:rsidRPr="009A1D0A">
        <w:rPr>
          <w:i/>
        </w:rPr>
        <w:t>„</w:t>
      </w:r>
      <w:r w:rsidRPr="009A1D0A">
        <w:rPr>
          <w:i/>
        </w:rPr>
        <w:t>sowie für Anträge gemäß § 25</w:t>
      </w:r>
      <w:r w:rsidR="00D561D6" w:rsidRPr="009A1D0A">
        <w:rPr>
          <w:i/>
        </w:rPr>
        <w:t>“</w:t>
      </w:r>
      <w:r w:rsidRPr="0044222B">
        <w:rPr>
          <w:b/>
        </w:rPr>
        <w:t xml:space="preserve"> </w:t>
      </w:r>
      <w:r w:rsidRPr="001F1284">
        <w:t>bedürfen einer Akkreditierung gemäß der Verordnung (EG) Nr. 765/2008 des</w:t>
      </w:r>
      <w:r>
        <w:t xml:space="preserve"> </w:t>
      </w:r>
      <w:r w:rsidRPr="001F1284">
        <w:t>Europäischen Parlaments und des Rates über die Vorschriften für die Akkred</w:t>
      </w:r>
      <w:r w:rsidRPr="001F1284">
        <w:t>i</w:t>
      </w:r>
      <w:r w:rsidRPr="001F1284">
        <w:t>tierung und</w:t>
      </w:r>
      <w:r>
        <w:t xml:space="preserve"> </w:t>
      </w:r>
      <w:r w:rsidRPr="001F1284">
        <w:t xml:space="preserve">Marktüberwachung im Zusammenhang mit der Vermarktung von Produkten, </w:t>
      </w:r>
      <w:proofErr w:type="spellStart"/>
      <w:r w:rsidRPr="001F1284">
        <w:t>ABl.</w:t>
      </w:r>
      <w:proofErr w:type="spellEnd"/>
      <w:r w:rsidRPr="001F1284">
        <w:t xml:space="preserve"> Nr. L 218 S. 30. Die</w:t>
      </w:r>
      <w:r>
        <w:t xml:space="preserve"> </w:t>
      </w:r>
      <w:r w:rsidRPr="001F1284">
        <w:t>Bestimmungen einer Verordnung gemäß Art. 15 der Richtlinie 2003/87/EG sind für die Akkreditierung</w:t>
      </w:r>
      <w:r>
        <w:t xml:space="preserve"> </w:t>
      </w:r>
      <w:r w:rsidRPr="001F1284">
        <w:t>und Aufsicht über unabhängige Prüfeinrichtungen a</w:t>
      </w:r>
      <w:r w:rsidRPr="001F1284">
        <w:t>n</w:t>
      </w:r>
      <w:r w:rsidRPr="001F1284">
        <w:t>zuwenden.</w:t>
      </w:r>
      <w:r>
        <w:t>“</w:t>
      </w:r>
      <w:r w:rsidR="005F5FCF">
        <w:t xml:space="preserve"> </w:t>
      </w:r>
      <w:r w:rsidR="00D66C52">
        <w:br/>
      </w:r>
      <w:r w:rsidR="005F5FCF">
        <w:br/>
      </w:r>
      <w:r w:rsidR="0038097D">
        <w:rPr>
          <w:b/>
        </w:rPr>
        <w:t>WKÖ-</w:t>
      </w:r>
      <w:r w:rsidR="005F5FCF" w:rsidRPr="005F5FCF">
        <w:rPr>
          <w:b/>
        </w:rPr>
        <w:t>Anmerkung</w:t>
      </w:r>
      <w:r w:rsidR="005F5FCF">
        <w:t xml:space="preserve">: hier wird klargestellt, dass auch diese Bestimmung über </w:t>
      </w:r>
      <w:proofErr w:type="spellStart"/>
      <w:r w:rsidR="005F5FCF">
        <w:t>Verifizierer</w:t>
      </w:r>
      <w:proofErr w:type="spellEnd"/>
      <w:r w:rsidR="005F5FCF">
        <w:t xml:space="preserve"> auch Zuteilungsanträge für neue Marktteilnehmer gemäß § 25 betrifft.</w:t>
      </w:r>
    </w:p>
    <w:p w:rsidR="0044222B" w:rsidRDefault="0044222B" w:rsidP="000F1840"/>
    <w:p w:rsidR="000F1840" w:rsidRDefault="000F1840" w:rsidP="000F1840">
      <w:pPr>
        <w:rPr>
          <w:b/>
        </w:rPr>
      </w:pPr>
      <w:r w:rsidRPr="000F1840">
        <w:rPr>
          <w:b/>
        </w:rPr>
        <w:t>Ausschließlich für Anlagen:</w:t>
      </w:r>
    </w:p>
    <w:p w:rsidR="000F1840" w:rsidRPr="000F1840" w:rsidRDefault="000F1840" w:rsidP="000F1840">
      <w:pPr>
        <w:rPr>
          <w:b/>
        </w:rPr>
      </w:pPr>
    </w:p>
    <w:p w:rsidR="005D34C4" w:rsidRPr="003A25D2" w:rsidRDefault="005D34C4" w:rsidP="005D34C4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b/>
        </w:rPr>
      </w:pPr>
      <w:r w:rsidRPr="003A25D2">
        <w:rPr>
          <w:b/>
        </w:rPr>
        <w:t>§ 24 Abs. 5 letzter Satz lautet derzeit:</w:t>
      </w:r>
      <w:r>
        <w:br/>
      </w:r>
      <w:r w:rsidRPr="005D34C4">
        <w:t>“</w:t>
      </w:r>
      <w:r>
        <w:t>Die Anpassung der Zuteilung ist jeweils beginnend mit jenem Kalenderjahr, das dem Jahr eines Ereignisses im Sinne der Z 1 bis 5 folgt, vorzunehmen.“</w:t>
      </w:r>
      <w:r>
        <w:br/>
      </w:r>
      <w:r w:rsidRPr="003A25D2">
        <w:rPr>
          <w:b/>
        </w:rPr>
        <w:t xml:space="preserve">neu: </w:t>
      </w:r>
      <w:r w:rsidRPr="003A25D2">
        <w:rPr>
          <w:b/>
        </w:rPr>
        <w:br/>
      </w:r>
      <w:r w:rsidRPr="005D34C4">
        <w:t xml:space="preserve">„Die Anpassung der Zuteilung ist jeweils beginnend mit jenem Kalenderjahr, das dem Jahr eines Ereignisses im Sinne </w:t>
      </w:r>
      <w:r w:rsidRPr="00DC4602">
        <w:t>der Z 1 bis</w:t>
      </w:r>
      <w:r w:rsidRPr="003A25D2">
        <w:rPr>
          <w:i/>
        </w:rPr>
        <w:t xml:space="preserve"> 3 folgt oder ab dem Jahr, ab dem eine Änderung im Sinne der Z 4 und 5 gilt, </w:t>
      </w:r>
      <w:r w:rsidRPr="00DC4602">
        <w:t>vorzunehmen</w:t>
      </w:r>
      <w:r w:rsidRPr="005D34C4">
        <w:t>.“</w:t>
      </w:r>
      <w:r w:rsidR="003052D3">
        <w:br/>
      </w:r>
      <w:r w:rsidR="0038097D">
        <w:br/>
      </w:r>
      <w:r w:rsidR="005F1A91">
        <w:rPr>
          <w:b/>
        </w:rPr>
        <w:t>WKÖ-</w:t>
      </w:r>
      <w:r w:rsidR="0038097D" w:rsidRPr="0038097D">
        <w:rPr>
          <w:b/>
        </w:rPr>
        <w:t>Anmerkung</w:t>
      </w:r>
      <w:r w:rsidR="0038097D">
        <w:t>: hier wird lediglich formal begrifflich das Wort „Ereignis“ aus der Z 4 (Ä</w:t>
      </w:r>
      <w:r w:rsidR="0038097D">
        <w:t>n</w:t>
      </w:r>
      <w:r w:rsidR="0038097D">
        <w:lastRenderedPageBreak/>
        <w:t xml:space="preserve">derung der Carbon </w:t>
      </w:r>
      <w:proofErr w:type="spellStart"/>
      <w:r w:rsidR="0038097D">
        <w:t>Leakage</w:t>
      </w:r>
      <w:proofErr w:type="spellEnd"/>
      <w:r w:rsidR="0038097D">
        <w:t xml:space="preserve">-Liste) herausgenommen und auf die jeweils gültige Carbon </w:t>
      </w:r>
      <w:proofErr w:type="spellStart"/>
      <w:r w:rsidR="0038097D">
        <w:t>Leakage</w:t>
      </w:r>
      <w:proofErr w:type="spellEnd"/>
      <w:r w:rsidR="0038097D">
        <w:t xml:space="preserve">-Liste (die nächste Liste gilt von 2015-19 sowie jährlich </w:t>
      </w:r>
      <w:r w:rsidR="00C665E3">
        <w:t>können Sektoren bzw. Su</w:t>
      </w:r>
      <w:r w:rsidR="00C665E3">
        <w:t>b</w:t>
      </w:r>
      <w:r w:rsidR="00C665E3">
        <w:t>sektoren dazu kommen</w:t>
      </w:r>
      <w:r w:rsidR="0038097D">
        <w:t>)</w:t>
      </w:r>
      <w:r w:rsidR="00C665E3">
        <w:t xml:space="preserve"> </w:t>
      </w:r>
      <w:r w:rsidR="002900DF">
        <w:t>verwiesen</w:t>
      </w:r>
      <w:r w:rsidR="00C665E3">
        <w:t>.</w:t>
      </w:r>
      <w:r w:rsidR="003A25D2">
        <w:br/>
      </w:r>
    </w:p>
    <w:p w:rsidR="007B0FE8" w:rsidRDefault="007B0FE8" w:rsidP="007B0FE8">
      <w:pPr>
        <w:pStyle w:val="Listenabsatz"/>
        <w:numPr>
          <w:ilvl w:val="0"/>
          <w:numId w:val="8"/>
        </w:numPr>
        <w:rPr>
          <w:b/>
        </w:rPr>
      </w:pPr>
      <w:r w:rsidRPr="007B0FE8">
        <w:rPr>
          <w:b/>
        </w:rPr>
        <w:t>Fristverlängerung für die Rückgabe der Emissionszertif</w:t>
      </w:r>
      <w:r w:rsidR="000F1840">
        <w:rPr>
          <w:b/>
        </w:rPr>
        <w:t xml:space="preserve">ikate von vier auf acht Wochen – </w:t>
      </w:r>
      <w:proofErr w:type="spellStart"/>
      <w:r w:rsidR="000F1840" w:rsidRPr="000F1840">
        <w:t>vgl</w:t>
      </w:r>
      <w:proofErr w:type="spellEnd"/>
      <w:r w:rsidR="000F1840" w:rsidRPr="000F1840">
        <w:t xml:space="preserve"> § 26</w:t>
      </w:r>
      <w:r w:rsidR="00D66C52">
        <w:br/>
      </w:r>
      <w:r w:rsidR="0038097D">
        <w:br/>
      </w:r>
      <w:r w:rsidR="005F1A91">
        <w:rPr>
          <w:b/>
        </w:rPr>
        <w:t>WKÖ-</w:t>
      </w:r>
      <w:r w:rsidR="0038097D" w:rsidRPr="0038097D">
        <w:rPr>
          <w:b/>
        </w:rPr>
        <w:t>Anmerkung</w:t>
      </w:r>
      <w:r w:rsidR="0038097D">
        <w:t xml:space="preserve">: Die </w:t>
      </w:r>
      <w:r w:rsidR="002900DF">
        <w:t xml:space="preserve">Verlängerung </w:t>
      </w:r>
      <w:r w:rsidR="0038097D">
        <w:t xml:space="preserve">Frist für </w:t>
      </w:r>
      <w:r w:rsidR="002900DF">
        <w:t>jene</w:t>
      </w:r>
      <w:r w:rsidR="0038097D">
        <w:t xml:space="preserve"> Anlagen,</w:t>
      </w:r>
      <w:r w:rsidR="002900DF">
        <w:t xml:space="preserve"> bei welchen aufgrund von </w:t>
      </w:r>
      <w:r w:rsidR="0038097D">
        <w:t xml:space="preserve"> Änd</w:t>
      </w:r>
      <w:r w:rsidR="0038097D">
        <w:t>e</w:t>
      </w:r>
      <w:r w:rsidR="0038097D">
        <w:t xml:space="preserve">rungen ihrer </w:t>
      </w:r>
      <w:r w:rsidR="002900DF">
        <w:t>Anlagen-</w:t>
      </w:r>
      <w:r w:rsidR="0038097D">
        <w:t>Kapazitäten</w:t>
      </w:r>
      <w:r w:rsidR="002900DF">
        <w:t xml:space="preserve"> oder ihres Betriebs Zertifikate vom Anlagenbetreiber z</w:t>
      </w:r>
      <w:r w:rsidR="002900DF">
        <w:t>u</w:t>
      </w:r>
      <w:r w:rsidR="002900DF">
        <w:t>rück zu buchen sind, ist zu begrüßen. Ob sie das Problem wirklich löst, ist fraglich, da ein Zwischenschritt der EU-Kommission nach der Meldung des Anlagebetreibers erfolgen muss, der aber nicht aufschiebend für die 4 bzw. jetzt 8-Wochen-Frist wirkt.</w:t>
      </w:r>
    </w:p>
    <w:p w:rsidR="001A15EC" w:rsidRDefault="001A15EC" w:rsidP="000F1840">
      <w:pPr>
        <w:rPr>
          <w:b/>
        </w:rPr>
      </w:pPr>
    </w:p>
    <w:p w:rsidR="000F1840" w:rsidRDefault="000F1840" w:rsidP="000F1840">
      <w:pPr>
        <w:rPr>
          <w:b/>
        </w:rPr>
      </w:pPr>
      <w:r>
        <w:rPr>
          <w:b/>
        </w:rPr>
        <w:t>Ausschließlich für die Luftfahrt</w:t>
      </w:r>
    </w:p>
    <w:p w:rsidR="000F1840" w:rsidRPr="000F1840" w:rsidRDefault="000F1840" w:rsidP="000F1840">
      <w:pPr>
        <w:rPr>
          <w:b/>
        </w:rPr>
      </w:pPr>
    </w:p>
    <w:p w:rsidR="001A15EC" w:rsidRPr="00091C3F" w:rsidRDefault="001A15EC" w:rsidP="00091C3F">
      <w:pPr>
        <w:pStyle w:val="Listenabsatz"/>
        <w:numPr>
          <w:ilvl w:val="0"/>
          <w:numId w:val="8"/>
        </w:numPr>
      </w:pPr>
      <w:r w:rsidRPr="008F71C3">
        <w:rPr>
          <w:b/>
        </w:rPr>
        <w:t xml:space="preserve">Regelung der Dauer der Handelsperioden für den Luftverkehr nach 2020. </w:t>
      </w:r>
      <w:r w:rsidR="00091C3F" w:rsidRPr="00091C3F">
        <w:t>Im Rahmen</w:t>
      </w:r>
      <w:r w:rsidR="00091C3F" w:rsidRPr="008F71C3">
        <w:rPr>
          <w:rFonts w:ascii="TimesNewRoman" w:hAnsi="TimesNewRoman" w:cs="TimesNewRoman"/>
          <w:sz w:val="20"/>
          <w:lang w:val="de-AT" w:eastAsia="en-US"/>
        </w:rPr>
        <w:t xml:space="preserve"> </w:t>
      </w:r>
      <w:r w:rsidR="00091C3F" w:rsidRPr="00091C3F">
        <w:t>e</w:t>
      </w:r>
      <w:r w:rsidR="00091C3F" w:rsidRPr="00091C3F">
        <w:t>i</w:t>
      </w:r>
      <w:r w:rsidR="00091C3F" w:rsidRPr="00091C3F">
        <w:t>nes Pilotverfahrens wurden von der Europäischen Kommission Mängel bei der Umsetzung</w:t>
      </w:r>
      <w:r w:rsidR="008F71C3">
        <w:t xml:space="preserve"> </w:t>
      </w:r>
      <w:r w:rsidR="00091C3F" w:rsidRPr="00091C3F">
        <w:t>der Richtlinie 2003/87/EG konstatiert, darunter das Fehlen einer über 2020 hinaus reichenden Regelung</w:t>
      </w:r>
      <w:r w:rsidR="008F71C3">
        <w:t xml:space="preserve"> </w:t>
      </w:r>
      <w:r w:rsidR="00091C3F" w:rsidRPr="00091C3F">
        <w:t>über die Dauer der Handelsperioden für den Bereich des Luftverkehrs. Die in § 20 bereits enthaltene</w:t>
      </w:r>
      <w:r w:rsidR="008F71C3">
        <w:t xml:space="preserve"> </w:t>
      </w:r>
      <w:r w:rsidR="00091C3F" w:rsidRPr="00091C3F">
        <w:t>Formulierung für Anlagen wird daher an dieser Stelle auch für den Luf</w:t>
      </w:r>
      <w:r w:rsidR="00091C3F" w:rsidRPr="00091C3F">
        <w:t>t</w:t>
      </w:r>
      <w:r w:rsidR="00091C3F" w:rsidRPr="00091C3F">
        <w:t>verkehr eingeführt</w:t>
      </w:r>
      <w:r w:rsidR="009C51E7">
        <w:t>, d.h. ab dem Jahr 2013 erstrecken sich Handelsperioden für Tätigkeiten gemäß Anhang 2 jeweils über Achtjahreszeiträume</w:t>
      </w:r>
      <w:r w:rsidR="00091C3F" w:rsidRPr="00091C3F">
        <w:t>. – vgl. § 28</w:t>
      </w:r>
    </w:p>
    <w:p w:rsidR="00F10508" w:rsidRPr="00F10508" w:rsidRDefault="00F10508" w:rsidP="00F10508">
      <w:pPr>
        <w:pStyle w:val="Listenabsatz"/>
        <w:rPr>
          <w:b/>
        </w:rPr>
      </w:pPr>
    </w:p>
    <w:p w:rsidR="00F10508" w:rsidRDefault="00B66760" w:rsidP="00F10508">
      <w:pPr>
        <w:pStyle w:val="Listenabsatz"/>
        <w:numPr>
          <w:ilvl w:val="0"/>
          <w:numId w:val="8"/>
        </w:numPr>
      </w:pPr>
      <w:r w:rsidRPr="00B66760">
        <w:rPr>
          <w:b/>
        </w:rPr>
        <w:t>Schaffung klarerer Durchsetzungsregelungen gegenüber Luftfahrzeugbetreibern in Nich</w:t>
      </w:r>
      <w:r w:rsidRPr="00B66760">
        <w:rPr>
          <w:b/>
        </w:rPr>
        <w:t>t</w:t>
      </w:r>
      <w:r w:rsidRPr="00B66760">
        <w:rPr>
          <w:b/>
        </w:rPr>
        <w:t>einhaltung.</w:t>
      </w:r>
      <w:r>
        <w:t xml:space="preserve"> </w:t>
      </w:r>
      <w:r w:rsidR="00D3224A">
        <w:t xml:space="preserve">§ 53: </w:t>
      </w:r>
      <w:r w:rsidR="00F10508" w:rsidRPr="00F10508">
        <w:t>Der neue Absatz 6 stellt in Umsetzung von Artikel 16 Absatz 11 der</w:t>
      </w:r>
      <w:r w:rsidR="00D3224A">
        <w:t xml:space="preserve"> </w:t>
      </w:r>
      <w:r w:rsidR="00F10508" w:rsidRPr="00F10508">
        <w:t>Richtl</w:t>
      </w:r>
      <w:r w:rsidR="00F10508" w:rsidRPr="00F10508">
        <w:t>i</w:t>
      </w:r>
      <w:r w:rsidR="00F10508" w:rsidRPr="00F10508">
        <w:t xml:space="preserve">nie klar, dass im Falle einer von der Europäischen </w:t>
      </w:r>
      <w:r w:rsidR="00F10508" w:rsidRPr="00B66760">
        <w:t>Kommission verhängten Betriebsunters</w:t>
      </w:r>
      <w:r w:rsidR="00F10508" w:rsidRPr="00B66760">
        <w:t>a</w:t>
      </w:r>
      <w:r w:rsidR="00F10508" w:rsidRPr="00B66760">
        <w:t>gung</w:t>
      </w:r>
      <w:r w:rsidR="00D3224A" w:rsidRPr="00B66760">
        <w:t xml:space="preserve"> </w:t>
      </w:r>
      <w:r w:rsidR="00F10508" w:rsidRPr="00B66760">
        <w:t>entsprechende Durchsetzungsmaßnahmen zu ergreifen</w:t>
      </w:r>
      <w:r w:rsidR="00F10508" w:rsidRPr="00F10508">
        <w:t xml:space="preserve"> sind. Genannt werden verschi</w:t>
      </w:r>
      <w:r w:rsidR="00F10508" w:rsidRPr="00F10508">
        <w:t>e</w:t>
      </w:r>
      <w:r w:rsidR="00F10508" w:rsidRPr="00F10508">
        <w:t>dene Maßnahmen,</w:t>
      </w:r>
      <w:r w:rsidR="00D3224A">
        <w:t xml:space="preserve"> </w:t>
      </w:r>
      <w:r w:rsidR="00F10508" w:rsidRPr="00F10508">
        <w:t xml:space="preserve">die in einem solchen Fall von der </w:t>
      </w:r>
      <w:proofErr w:type="spellStart"/>
      <w:r w:rsidR="00F10508" w:rsidRPr="00F10508">
        <w:t>Austro</w:t>
      </w:r>
      <w:proofErr w:type="spellEnd"/>
      <w:r w:rsidR="00F10508" w:rsidRPr="00F10508">
        <w:t xml:space="preserve"> Control GmbH </w:t>
      </w:r>
      <w:proofErr w:type="spellStart"/>
      <w:r w:rsidR="00F10508" w:rsidRPr="00F10508">
        <w:t>bzw</w:t>
      </w:r>
      <w:proofErr w:type="spellEnd"/>
      <w:r w:rsidR="00F10508" w:rsidRPr="00F10508">
        <w:t xml:space="preserve"> BMVIT gesetzt werden können.</w:t>
      </w:r>
      <w:r w:rsidR="005F1A91">
        <w:br/>
      </w:r>
      <w:r w:rsidR="005F1A91">
        <w:br/>
      </w:r>
      <w:r w:rsidR="00D66C52">
        <w:rPr>
          <w:b/>
        </w:rPr>
        <w:t>WKÖ-</w:t>
      </w:r>
      <w:r w:rsidR="005F1A91" w:rsidRPr="005F1A91">
        <w:rPr>
          <w:b/>
        </w:rPr>
        <w:t>Anmerkung</w:t>
      </w:r>
      <w:r w:rsidR="005F1A91">
        <w:t>: die beiden letzten Regelungen haben mit der jüngsten EU-VO nichts zu tun sondern korrigieren vormalige Umsetzungsmängel.</w:t>
      </w:r>
    </w:p>
    <w:p w:rsidR="001F1C47" w:rsidRDefault="001F1C47" w:rsidP="001F1C47">
      <w:pPr>
        <w:pStyle w:val="Listenabsatz"/>
      </w:pPr>
    </w:p>
    <w:p w:rsidR="00DF6E3F" w:rsidRPr="00DF6E3F" w:rsidRDefault="00DF6E3F" w:rsidP="00DF6E3F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TimesNewRoman"/>
          <w:b/>
          <w:szCs w:val="22"/>
          <w:lang w:val="de-AT" w:eastAsia="en-US"/>
        </w:rPr>
      </w:pPr>
      <w:r w:rsidRPr="00DF6E3F">
        <w:rPr>
          <w:rFonts w:cs="TimesNewRoman"/>
          <w:b/>
          <w:szCs w:val="22"/>
          <w:lang w:val="de-AT" w:eastAsia="en-US"/>
        </w:rPr>
        <w:t xml:space="preserve">Ergänzung um § 53b: </w:t>
      </w:r>
    </w:p>
    <w:p w:rsidR="00DF6E3F" w:rsidRDefault="00DF6E3F" w:rsidP="00CB565D">
      <w:pPr>
        <w:pStyle w:val="Listenabsatz"/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709" w:hanging="283"/>
        <w:rPr>
          <w:rFonts w:cs="TimesNewRoman"/>
          <w:szCs w:val="22"/>
          <w:lang w:val="de-AT" w:eastAsia="en-US"/>
        </w:rPr>
      </w:pPr>
      <w:r w:rsidRPr="00DF6E3F">
        <w:rPr>
          <w:rFonts w:cs="TimesNewRoman"/>
          <w:szCs w:val="22"/>
          <w:lang w:val="de-AT" w:eastAsia="en-US"/>
        </w:rPr>
        <w:t xml:space="preserve">Änderungen bei </w:t>
      </w:r>
      <w:r w:rsidR="00EB6E34" w:rsidRPr="00DF6E3F">
        <w:rPr>
          <w:rFonts w:cs="TimesNewRoman"/>
          <w:szCs w:val="22"/>
          <w:lang w:val="de-AT" w:eastAsia="en-US"/>
        </w:rPr>
        <w:t xml:space="preserve">Überwachungs-, Melde- und Abgabeverpflichten </w:t>
      </w:r>
      <w:r w:rsidRPr="00DF6E3F">
        <w:rPr>
          <w:rFonts w:cs="TimesNewRoman"/>
          <w:szCs w:val="22"/>
          <w:lang w:val="de-AT" w:eastAsia="en-US"/>
        </w:rPr>
        <w:t>zwischen</w:t>
      </w:r>
      <w:r w:rsidR="00EB6E34" w:rsidRPr="00DF6E3F">
        <w:rPr>
          <w:rFonts w:cs="TimesNewRoman"/>
          <w:szCs w:val="22"/>
          <w:lang w:val="de-AT" w:eastAsia="en-US"/>
        </w:rPr>
        <w:t xml:space="preserve"> 2013 </w:t>
      </w:r>
      <w:r w:rsidRPr="00DF6E3F">
        <w:rPr>
          <w:rFonts w:cs="TimesNewRoman"/>
          <w:szCs w:val="22"/>
          <w:lang w:val="de-AT" w:eastAsia="en-US"/>
        </w:rPr>
        <w:t>und</w:t>
      </w:r>
      <w:r w:rsidR="00EB6E34" w:rsidRPr="00DF6E3F">
        <w:rPr>
          <w:rFonts w:cs="TimesNewRoman"/>
          <w:szCs w:val="22"/>
          <w:lang w:val="de-AT" w:eastAsia="en-US"/>
        </w:rPr>
        <w:t xml:space="preserve"> 2016 nur für Emissionen aus innereuropäischen Luftverkehrstätigkeiten</w:t>
      </w:r>
      <w:r w:rsidRPr="00DF6E3F">
        <w:rPr>
          <w:rFonts w:cs="TimesNewRoman"/>
          <w:szCs w:val="22"/>
          <w:lang w:val="de-AT" w:eastAsia="en-US"/>
        </w:rPr>
        <w:t xml:space="preserve">. </w:t>
      </w:r>
    </w:p>
    <w:p w:rsidR="00EB6E34" w:rsidRPr="00DF6E3F" w:rsidRDefault="00DF6E3F" w:rsidP="00CB565D">
      <w:pPr>
        <w:pStyle w:val="Listenabsatz"/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709" w:hanging="283"/>
        <w:rPr>
          <w:rFonts w:cs="TimesNewRoman"/>
          <w:szCs w:val="22"/>
          <w:lang w:val="de-AT" w:eastAsia="en-US"/>
        </w:rPr>
      </w:pPr>
      <w:r>
        <w:rPr>
          <w:rFonts w:cs="TimesNewRoman"/>
          <w:szCs w:val="22"/>
          <w:lang w:val="de-AT" w:eastAsia="en-US"/>
        </w:rPr>
        <w:t>Verlängerung</w:t>
      </w:r>
      <w:r w:rsidRPr="00DF6E3F">
        <w:rPr>
          <w:rFonts w:cs="TimesNewRoman"/>
          <w:szCs w:val="22"/>
          <w:lang w:val="de-AT" w:eastAsia="en-US"/>
        </w:rPr>
        <w:t xml:space="preserve"> der </w:t>
      </w:r>
      <w:r w:rsidR="00EB6E34" w:rsidRPr="00DF6E3F">
        <w:rPr>
          <w:rFonts w:cs="TimesNewRoman"/>
          <w:szCs w:val="22"/>
          <w:lang w:val="de-AT" w:eastAsia="en-US"/>
        </w:rPr>
        <w:t xml:space="preserve">Frist für die Einreichung der geprüften Emissionsmeldung für 2013 </w:t>
      </w:r>
      <w:r w:rsidRPr="00DF6E3F">
        <w:rPr>
          <w:rFonts w:cs="TimesNewRoman"/>
          <w:szCs w:val="22"/>
          <w:lang w:val="de-AT" w:eastAsia="en-US"/>
        </w:rPr>
        <w:t xml:space="preserve">– sie wird </w:t>
      </w:r>
      <w:r w:rsidR="00EB6E34" w:rsidRPr="00DF6E3F">
        <w:rPr>
          <w:rFonts w:cs="TimesNewRoman"/>
          <w:szCs w:val="22"/>
          <w:lang w:val="de-AT" w:eastAsia="en-US"/>
        </w:rPr>
        <w:t>um ein Jahr auf 31.3.2015 verschoben</w:t>
      </w:r>
      <w:r w:rsidRPr="00DF6E3F">
        <w:rPr>
          <w:rFonts w:cs="TimesNewRoman"/>
          <w:szCs w:val="22"/>
          <w:lang w:val="de-AT" w:eastAsia="en-US"/>
        </w:rPr>
        <w:t xml:space="preserve">. </w:t>
      </w:r>
      <w:r w:rsidR="00EB6E34" w:rsidRPr="00DF6E3F">
        <w:rPr>
          <w:rFonts w:cs="TimesNewRoman"/>
          <w:szCs w:val="22"/>
          <w:lang w:val="de-AT" w:eastAsia="en-US"/>
        </w:rPr>
        <w:t>Frist für die Abgabe der Zertifikate zur Abd</w:t>
      </w:r>
      <w:r w:rsidR="00EB6E34" w:rsidRPr="00DF6E3F">
        <w:rPr>
          <w:rFonts w:cs="TimesNewRoman"/>
          <w:szCs w:val="22"/>
          <w:lang w:val="de-AT" w:eastAsia="en-US"/>
        </w:rPr>
        <w:t>e</w:t>
      </w:r>
      <w:r w:rsidR="00EB6E34" w:rsidRPr="00DF6E3F">
        <w:rPr>
          <w:rFonts w:cs="TimesNewRoman"/>
          <w:szCs w:val="22"/>
          <w:lang w:val="de-AT" w:eastAsia="en-US"/>
        </w:rPr>
        <w:t>ckung der geprüften Emissionen des Jahres 2013 wird auf 30.4.2015 verschoben.</w:t>
      </w:r>
    </w:p>
    <w:p w:rsidR="001D6FF6" w:rsidRDefault="00EB6E34" w:rsidP="00CB565D">
      <w:pPr>
        <w:pStyle w:val="Listenabsatz"/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709" w:hanging="283"/>
        <w:rPr>
          <w:szCs w:val="22"/>
        </w:rPr>
      </w:pPr>
      <w:r w:rsidRPr="00EB6E34">
        <w:rPr>
          <w:rFonts w:cs="TimesNewRoman"/>
          <w:szCs w:val="22"/>
          <w:lang w:val="de-AT" w:eastAsia="en-US"/>
        </w:rPr>
        <w:t>Für die Jahre 2013 bis 2016 wird nur jener Anteil der Emissionszertifikate auf die Konten im Unionsregister gebucht, der den in den Zuteilungsanträgen ausgewiesenen Tonnenk</w:t>
      </w:r>
      <w:r w:rsidRPr="00EB6E34">
        <w:rPr>
          <w:rFonts w:cs="TimesNewRoman"/>
          <w:szCs w:val="22"/>
          <w:lang w:val="de-AT" w:eastAsia="en-US"/>
        </w:rPr>
        <w:t>i</w:t>
      </w:r>
      <w:r w:rsidRPr="00EB6E34">
        <w:rPr>
          <w:rFonts w:cs="TimesNewRoman"/>
          <w:szCs w:val="22"/>
          <w:lang w:val="de-AT" w:eastAsia="en-US"/>
        </w:rPr>
        <w:t>lometern aus innereuropäischen Luftverkehrstätigkeiten entspricht.</w:t>
      </w:r>
      <w:r w:rsidR="001F1C47" w:rsidRPr="00EB6E34">
        <w:rPr>
          <w:szCs w:val="22"/>
        </w:rPr>
        <w:t xml:space="preserve"> </w:t>
      </w:r>
      <w:r w:rsidR="005F1A91">
        <w:rPr>
          <w:szCs w:val="22"/>
        </w:rPr>
        <w:br/>
      </w:r>
    </w:p>
    <w:p w:rsidR="001F1C47" w:rsidRPr="001D6FF6" w:rsidRDefault="00474959" w:rsidP="001D6FF6">
      <w:pPr>
        <w:autoSpaceDE w:val="0"/>
        <w:autoSpaceDN w:val="0"/>
        <w:adjustRightInd w:val="0"/>
        <w:spacing w:line="240" w:lineRule="auto"/>
        <w:ind w:left="360"/>
        <w:rPr>
          <w:szCs w:val="22"/>
        </w:rPr>
      </w:pPr>
      <w:r w:rsidRPr="001D6FF6">
        <w:rPr>
          <w:b/>
          <w:szCs w:val="22"/>
        </w:rPr>
        <w:t>WKÖ-</w:t>
      </w:r>
      <w:r w:rsidR="005F1A91" w:rsidRPr="001D6FF6">
        <w:rPr>
          <w:b/>
          <w:szCs w:val="22"/>
        </w:rPr>
        <w:t>Anmerkung</w:t>
      </w:r>
      <w:r w:rsidR="005F1A91" w:rsidRPr="001D6FF6">
        <w:rPr>
          <w:szCs w:val="22"/>
        </w:rPr>
        <w:t xml:space="preserve">: setzt die </w:t>
      </w:r>
      <w:proofErr w:type="spellStart"/>
      <w:r w:rsidR="005F1A91" w:rsidRPr="001D6FF6">
        <w:rPr>
          <w:szCs w:val="22"/>
        </w:rPr>
        <w:t>Stop</w:t>
      </w:r>
      <w:proofErr w:type="spellEnd"/>
      <w:r w:rsidR="005F1A91" w:rsidRPr="001D6FF6">
        <w:rPr>
          <w:szCs w:val="22"/>
        </w:rPr>
        <w:t>-</w:t>
      </w:r>
      <w:proofErr w:type="spellStart"/>
      <w:r w:rsidR="005F1A91" w:rsidRPr="001D6FF6">
        <w:rPr>
          <w:szCs w:val="22"/>
        </w:rPr>
        <w:t>the</w:t>
      </w:r>
      <w:proofErr w:type="spellEnd"/>
      <w:r w:rsidR="005F1A91" w:rsidRPr="001D6FF6">
        <w:rPr>
          <w:szCs w:val="22"/>
        </w:rPr>
        <w:t>-</w:t>
      </w:r>
      <w:proofErr w:type="spellStart"/>
      <w:r w:rsidR="005F1A91" w:rsidRPr="001D6FF6">
        <w:rPr>
          <w:szCs w:val="22"/>
        </w:rPr>
        <w:t>clock</w:t>
      </w:r>
      <w:proofErr w:type="spellEnd"/>
      <w:r w:rsidR="005F1A91" w:rsidRPr="001D6FF6">
        <w:rPr>
          <w:szCs w:val="22"/>
        </w:rPr>
        <w:t>-Regelung bezüglich der</w:t>
      </w:r>
      <w:r w:rsidRPr="001D6FF6">
        <w:rPr>
          <w:szCs w:val="22"/>
        </w:rPr>
        <w:t xml:space="preserve"> erleichterten</w:t>
      </w:r>
      <w:r w:rsidR="005F1A91" w:rsidRPr="001D6FF6">
        <w:rPr>
          <w:szCs w:val="22"/>
        </w:rPr>
        <w:t xml:space="preserve"> Emission</w:t>
      </w:r>
      <w:r w:rsidR="005F1A91" w:rsidRPr="001D6FF6">
        <w:rPr>
          <w:szCs w:val="22"/>
        </w:rPr>
        <w:t>s</w:t>
      </w:r>
      <w:r w:rsidR="005F1A91" w:rsidRPr="001D6FF6">
        <w:rPr>
          <w:szCs w:val="22"/>
        </w:rPr>
        <w:t xml:space="preserve">meldungen </w:t>
      </w:r>
      <w:r w:rsidRPr="001D6FF6">
        <w:rPr>
          <w:szCs w:val="22"/>
        </w:rPr>
        <w:t>um (ein Jahr mehr Zeit für die 2013-Emissionen) und ist positiv zu beurteilen.</w:t>
      </w:r>
    </w:p>
    <w:p w:rsidR="00252009" w:rsidRDefault="00252009" w:rsidP="00252009">
      <w:pPr>
        <w:pStyle w:val="Listenabsatz"/>
      </w:pPr>
    </w:p>
    <w:p w:rsidR="00B86D27" w:rsidRPr="00B86D27" w:rsidRDefault="00B86D27" w:rsidP="00B86D27">
      <w:pPr>
        <w:pStyle w:val="Listenabsatz"/>
        <w:numPr>
          <w:ilvl w:val="0"/>
          <w:numId w:val="8"/>
        </w:numPr>
      </w:pPr>
      <w:r w:rsidRPr="00B86D27">
        <w:rPr>
          <w:b/>
        </w:rPr>
        <w:t>Ergänzung um § 56 Abs. 6 und 7</w:t>
      </w:r>
      <w:r>
        <w:t xml:space="preserve">, um die Zuständigkeit für den Vollzug im Zusammenhang mit den neu eingeführten Regelungen in § 53 zu regeln. </w:t>
      </w:r>
      <w:r w:rsidR="003052D3">
        <w:br/>
      </w:r>
      <w:r w:rsidR="003052D3">
        <w:br/>
      </w:r>
      <w:r w:rsidR="003052D3" w:rsidRPr="003052D3">
        <w:rPr>
          <w:b/>
        </w:rPr>
        <w:t>WKÖ-Anmerkung:</w:t>
      </w:r>
      <w:r w:rsidR="003052D3">
        <w:t xml:space="preserve"> setzt die </w:t>
      </w:r>
      <w:proofErr w:type="spellStart"/>
      <w:r w:rsidR="003052D3">
        <w:t>Sanktionierbarkeit</w:t>
      </w:r>
      <w:proofErr w:type="spellEnd"/>
      <w:r w:rsidR="003052D3">
        <w:t xml:space="preserve"> der Betriebsuntersagung durch das BMVIT s</w:t>
      </w:r>
      <w:r w:rsidR="003052D3">
        <w:t>i</w:t>
      </w:r>
      <w:r w:rsidR="003052D3">
        <w:t xml:space="preserve">cher. </w:t>
      </w:r>
    </w:p>
    <w:p w:rsidR="00B86D27" w:rsidRPr="00B86D27" w:rsidRDefault="00B86D27" w:rsidP="00B86D27"/>
    <w:p w:rsidR="00DC55A3" w:rsidRDefault="00936E85" w:rsidP="00C8265B">
      <w:pPr>
        <w:pStyle w:val="Listenabsatz"/>
        <w:numPr>
          <w:ilvl w:val="0"/>
          <w:numId w:val="8"/>
        </w:numPr>
      </w:pPr>
      <w:r w:rsidRPr="00C8265B">
        <w:rPr>
          <w:b/>
        </w:rPr>
        <w:t>A</w:t>
      </w:r>
      <w:r w:rsidR="000A7A7D" w:rsidRPr="00C8265B">
        <w:rPr>
          <w:b/>
        </w:rPr>
        <w:t xml:space="preserve">usnahme aus </w:t>
      </w:r>
      <w:r w:rsidR="00E107B8" w:rsidRPr="00C8265B">
        <w:rPr>
          <w:b/>
        </w:rPr>
        <w:t>dem EU-Emissionshandel</w:t>
      </w:r>
      <w:r w:rsidR="000A7A7D" w:rsidRPr="00C8265B">
        <w:rPr>
          <w:b/>
        </w:rPr>
        <w:t xml:space="preserve"> bis 2020</w:t>
      </w:r>
      <w:r w:rsidR="00C959A4" w:rsidRPr="00C8265B">
        <w:rPr>
          <w:b/>
        </w:rPr>
        <w:t xml:space="preserve"> von</w:t>
      </w:r>
      <w:r w:rsidR="000A7A7D" w:rsidRPr="00C8265B">
        <w:rPr>
          <w:b/>
        </w:rPr>
        <w:t xml:space="preserve"> Flüge</w:t>
      </w:r>
      <w:r w:rsidR="00C959A4" w:rsidRPr="00C8265B">
        <w:rPr>
          <w:b/>
        </w:rPr>
        <w:t>n</w:t>
      </w:r>
      <w:r w:rsidR="000A7A7D" w:rsidRPr="00C8265B">
        <w:rPr>
          <w:b/>
        </w:rPr>
        <w:t xml:space="preserve"> </w:t>
      </w:r>
      <w:r w:rsidRPr="00C8265B">
        <w:rPr>
          <w:b/>
        </w:rPr>
        <w:t>der nicht-gewerblichen Luf</w:t>
      </w:r>
      <w:r w:rsidRPr="00C8265B">
        <w:rPr>
          <w:b/>
        </w:rPr>
        <w:t>t</w:t>
      </w:r>
      <w:r w:rsidRPr="00C8265B">
        <w:rPr>
          <w:b/>
        </w:rPr>
        <w:t xml:space="preserve">fahrzeugbetreiber mit weniger als 1.000 Tonnen </w:t>
      </w:r>
      <w:r w:rsidR="000A7A7D" w:rsidRPr="00C8265B">
        <w:rPr>
          <w:b/>
        </w:rPr>
        <w:t>CO2</w:t>
      </w:r>
      <w:r w:rsidRPr="00C8265B">
        <w:rPr>
          <w:b/>
        </w:rPr>
        <w:t xml:space="preserve"> pro Jahr.</w:t>
      </w:r>
      <w:r>
        <w:t xml:space="preserve"> In Österreich sind von den Bestimmungen der </w:t>
      </w:r>
      <w:r w:rsidR="00736B20">
        <w:t>Verordnung</w:t>
      </w:r>
      <w:r>
        <w:t xml:space="preserve"> 30 Luftfahrzeugbetreiber betroffen. Davon emittieren 14 B</w:t>
      </w:r>
      <w:r>
        <w:t>e</w:t>
      </w:r>
      <w:r>
        <w:t xml:space="preserve">treiber weniger als 1.000 Tonnen </w:t>
      </w:r>
      <w:r w:rsidR="003A6A20">
        <w:t>Emissionen</w:t>
      </w:r>
      <w:r>
        <w:t xml:space="preserve"> pro Jahr und entsprechen daher nur rund 0,1% der Emissionen, die den österreichischen Betreibern zugeordneten werden können. Folglich unterliegen diese 14 Betreiber aufgrund der Verordnung </w:t>
      </w:r>
      <w:r w:rsidR="00AF43A9">
        <w:t>von</w:t>
      </w:r>
      <w:r>
        <w:t xml:space="preserve"> 2013 </w:t>
      </w:r>
      <w:r w:rsidR="00AF43A9">
        <w:t xml:space="preserve">bis 2020 </w:t>
      </w:r>
      <w:r>
        <w:t>nicht bzw</w:t>
      </w:r>
      <w:r w:rsidR="00D561D6">
        <w:t>.</w:t>
      </w:r>
      <w:r>
        <w:t xml:space="preserve"> </w:t>
      </w:r>
      <w:r w:rsidR="00474959">
        <w:t xml:space="preserve">nicht mehr dem Emissionshandel – </w:t>
      </w:r>
      <w:proofErr w:type="spellStart"/>
      <w:r w:rsidR="00474959">
        <w:t>vgl</w:t>
      </w:r>
      <w:proofErr w:type="spellEnd"/>
      <w:r w:rsidR="00474959">
        <w:t xml:space="preserve"> dazu </w:t>
      </w:r>
      <w:r w:rsidR="003052D3">
        <w:t xml:space="preserve">Anhang 2 </w:t>
      </w:r>
      <w:r w:rsidR="00474959">
        <w:t xml:space="preserve">Z 11 </w:t>
      </w:r>
      <w:proofErr w:type="spellStart"/>
      <w:r w:rsidR="00474959">
        <w:t>lit</w:t>
      </w:r>
      <w:proofErr w:type="spellEnd"/>
      <w:r w:rsidR="00474959">
        <w:t xml:space="preserve"> k</w:t>
      </w:r>
      <w:r w:rsidR="003052D3">
        <w:t>.</w:t>
      </w:r>
    </w:p>
    <w:p w:rsidR="00A37ABA" w:rsidRDefault="00A37ABA" w:rsidP="00A37ABA">
      <w:bookmarkStart w:id="2" w:name="Textblock"/>
      <w:bookmarkEnd w:id="2"/>
    </w:p>
    <w:p w:rsidR="00A37ABA" w:rsidRDefault="00A37ABA" w:rsidP="00A37ABA"/>
    <w:p w:rsidR="00A37ABA" w:rsidRPr="00A37ABA" w:rsidRDefault="00A37ABA" w:rsidP="00A37ABA">
      <w:r>
        <w:t>U</w:t>
      </w:r>
      <w:r w:rsidRPr="007044C2">
        <w:t>m Stellungnahme</w:t>
      </w:r>
      <w:r>
        <w:t xml:space="preserve"> bis </w:t>
      </w:r>
      <w:r>
        <w:rPr>
          <w:b/>
        </w:rPr>
        <w:t xml:space="preserve">13.1.2015 </w:t>
      </w:r>
      <w:r w:rsidRPr="00A37ABA">
        <w:t>wird gebeten.</w:t>
      </w:r>
    </w:p>
    <w:p w:rsidR="005811F1" w:rsidRDefault="005811F1" w:rsidP="003052D3"/>
    <w:p w:rsidR="00A37ABA" w:rsidRDefault="00A37ABA" w:rsidP="003052D3"/>
    <w:p w:rsidR="005811F1" w:rsidRDefault="005811F1" w:rsidP="003052D3">
      <w:pPr>
        <w:rPr>
          <w:snapToGrid w:val="0"/>
          <w:color w:val="000000"/>
          <w:szCs w:val="0"/>
          <w:u w:color="000000"/>
        </w:rPr>
      </w:pPr>
      <w:r>
        <w:rPr>
          <w:snapToGrid w:val="0"/>
          <w:color w:val="000000"/>
          <w:szCs w:val="0"/>
          <w:u w:color="000000"/>
        </w:rPr>
        <w:t>Freundliche Grüße</w:t>
      </w:r>
    </w:p>
    <w:p w:rsidR="005811F1" w:rsidRDefault="005811F1" w:rsidP="003052D3"/>
    <w:p w:rsidR="005811F1" w:rsidRDefault="005811F1" w:rsidP="003052D3"/>
    <w:p w:rsidR="00A37ABA" w:rsidRDefault="00A37ABA" w:rsidP="003052D3">
      <w:r>
        <w:t>Eli Widecki</w:t>
      </w:r>
    </w:p>
    <w:p w:rsidR="005811F1" w:rsidRDefault="005811F1" w:rsidP="003052D3"/>
    <w:p w:rsidR="005811F1" w:rsidRDefault="005811F1" w:rsidP="003052D3"/>
    <w:p w:rsidR="005811F1" w:rsidRDefault="005811F1" w:rsidP="003052D3"/>
    <w:sectPr w:rsidR="005811F1" w:rsidSect="005811F1">
      <w:headerReference w:type="default" r:id="rId8"/>
      <w:headerReference w:type="first" r:id="rId9"/>
      <w:pgSz w:w="11906" w:h="16838"/>
      <w:pgMar w:top="1701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F1" w:rsidRDefault="008F0DF1" w:rsidP="005811F1">
      <w:pPr>
        <w:spacing w:line="240" w:lineRule="auto"/>
      </w:pPr>
      <w:r>
        <w:separator/>
      </w:r>
    </w:p>
  </w:endnote>
  <w:endnote w:type="continuationSeparator" w:id="0">
    <w:p w:rsidR="008F0DF1" w:rsidRDefault="008F0DF1" w:rsidP="00581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F1" w:rsidRDefault="008F0DF1" w:rsidP="005811F1">
      <w:pPr>
        <w:spacing w:line="240" w:lineRule="auto"/>
      </w:pPr>
      <w:r>
        <w:separator/>
      </w:r>
    </w:p>
  </w:footnote>
  <w:footnote w:type="continuationSeparator" w:id="0">
    <w:p w:rsidR="008F0DF1" w:rsidRDefault="008F0DF1" w:rsidP="00581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F1" w:rsidRPr="005811F1" w:rsidRDefault="005811F1" w:rsidP="005811F1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63F92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F1" w:rsidRPr="005811F1" w:rsidRDefault="005811F1" w:rsidP="005811F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98C"/>
    <w:multiLevelType w:val="hybridMultilevel"/>
    <w:tmpl w:val="053890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85EBA"/>
    <w:multiLevelType w:val="hybridMultilevel"/>
    <w:tmpl w:val="7B8874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34052"/>
    <w:multiLevelType w:val="hybridMultilevel"/>
    <w:tmpl w:val="8D8CAC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7353D1"/>
    <w:multiLevelType w:val="hybridMultilevel"/>
    <w:tmpl w:val="BB7630D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81467"/>
    <w:multiLevelType w:val="hybridMultilevel"/>
    <w:tmpl w:val="AD6CACA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470D39"/>
    <w:multiLevelType w:val="hybridMultilevel"/>
    <w:tmpl w:val="CDEEA38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9906A1"/>
    <w:multiLevelType w:val="hybridMultilevel"/>
    <w:tmpl w:val="EF2899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D2B85"/>
    <w:multiLevelType w:val="hybridMultilevel"/>
    <w:tmpl w:val="785863A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A3"/>
    <w:rsid w:val="00002CAE"/>
    <w:rsid w:val="0000713F"/>
    <w:rsid w:val="000127E2"/>
    <w:rsid w:val="00012D1A"/>
    <w:rsid w:val="00016D43"/>
    <w:rsid w:val="000301BD"/>
    <w:rsid w:val="0003719F"/>
    <w:rsid w:val="00041E2C"/>
    <w:rsid w:val="0005114E"/>
    <w:rsid w:val="00057010"/>
    <w:rsid w:val="000608E2"/>
    <w:rsid w:val="00060D79"/>
    <w:rsid w:val="000641B8"/>
    <w:rsid w:val="00071001"/>
    <w:rsid w:val="00075857"/>
    <w:rsid w:val="00082C8C"/>
    <w:rsid w:val="00091C3F"/>
    <w:rsid w:val="000A71B3"/>
    <w:rsid w:val="000A71EA"/>
    <w:rsid w:val="000A7A7D"/>
    <w:rsid w:val="000B7855"/>
    <w:rsid w:val="000B7E42"/>
    <w:rsid w:val="000C1B3D"/>
    <w:rsid w:val="000C4EA0"/>
    <w:rsid w:val="000D607B"/>
    <w:rsid w:val="000D7CD2"/>
    <w:rsid w:val="000F1496"/>
    <w:rsid w:val="000F1840"/>
    <w:rsid w:val="000F69DE"/>
    <w:rsid w:val="00102C32"/>
    <w:rsid w:val="00102E04"/>
    <w:rsid w:val="00103E15"/>
    <w:rsid w:val="00104CE9"/>
    <w:rsid w:val="00106C6F"/>
    <w:rsid w:val="00112962"/>
    <w:rsid w:val="0011426C"/>
    <w:rsid w:val="00123FF7"/>
    <w:rsid w:val="0013238E"/>
    <w:rsid w:val="001455FF"/>
    <w:rsid w:val="0015543F"/>
    <w:rsid w:val="00166D5F"/>
    <w:rsid w:val="001675EA"/>
    <w:rsid w:val="00173755"/>
    <w:rsid w:val="00193FBA"/>
    <w:rsid w:val="001A04D8"/>
    <w:rsid w:val="001A15EC"/>
    <w:rsid w:val="001A1F7F"/>
    <w:rsid w:val="001C367B"/>
    <w:rsid w:val="001C5380"/>
    <w:rsid w:val="001D6FF6"/>
    <w:rsid w:val="001E2D12"/>
    <w:rsid w:val="001E5563"/>
    <w:rsid w:val="001F1284"/>
    <w:rsid w:val="001F1B9E"/>
    <w:rsid w:val="001F1C47"/>
    <w:rsid w:val="001F25D1"/>
    <w:rsid w:val="00200EC8"/>
    <w:rsid w:val="0020107C"/>
    <w:rsid w:val="00213287"/>
    <w:rsid w:val="00220E0E"/>
    <w:rsid w:val="00226ADD"/>
    <w:rsid w:val="0023346F"/>
    <w:rsid w:val="00240497"/>
    <w:rsid w:val="00252009"/>
    <w:rsid w:val="00252611"/>
    <w:rsid w:val="002535CA"/>
    <w:rsid w:val="00253970"/>
    <w:rsid w:val="0025544D"/>
    <w:rsid w:val="002575FA"/>
    <w:rsid w:val="00261C4B"/>
    <w:rsid w:val="00263817"/>
    <w:rsid w:val="00271D63"/>
    <w:rsid w:val="00277E56"/>
    <w:rsid w:val="00283BF5"/>
    <w:rsid w:val="002900DF"/>
    <w:rsid w:val="002971D3"/>
    <w:rsid w:val="00297914"/>
    <w:rsid w:val="002A2E36"/>
    <w:rsid w:val="002A6A53"/>
    <w:rsid w:val="002B1425"/>
    <w:rsid w:val="002C33A7"/>
    <w:rsid w:val="002D4063"/>
    <w:rsid w:val="002E40B7"/>
    <w:rsid w:val="003052D3"/>
    <w:rsid w:val="00323AC2"/>
    <w:rsid w:val="003258AF"/>
    <w:rsid w:val="00326AD7"/>
    <w:rsid w:val="00331C9B"/>
    <w:rsid w:val="003351AC"/>
    <w:rsid w:val="00353145"/>
    <w:rsid w:val="00354C94"/>
    <w:rsid w:val="00356823"/>
    <w:rsid w:val="0037643C"/>
    <w:rsid w:val="0038097D"/>
    <w:rsid w:val="00382B0A"/>
    <w:rsid w:val="00385222"/>
    <w:rsid w:val="003925AD"/>
    <w:rsid w:val="003937C9"/>
    <w:rsid w:val="003A25D2"/>
    <w:rsid w:val="003A59FF"/>
    <w:rsid w:val="003A6A20"/>
    <w:rsid w:val="003C7BD4"/>
    <w:rsid w:val="003D1A2B"/>
    <w:rsid w:val="003D4288"/>
    <w:rsid w:val="003D5B64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1514F"/>
    <w:rsid w:val="00423B1F"/>
    <w:rsid w:val="004270E2"/>
    <w:rsid w:val="0044222B"/>
    <w:rsid w:val="00442A54"/>
    <w:rsid w:val="00446AEB"/>
    <w:rsid w:val="00446BE3"/>
    <w:rsid w:val="00450DC1"/>
    <w:rsid w:val="00454F8D"/>
    <w:rsid w:val="00461C18"/>
    <w:rsid w:val="00462F86"/>
    <w:rsid w:val="004679CD"/>
    <w:rsid w:val="00470A23"/>
    <w:rsid w:val="00471400"/>
    <w:rsid w:val="00474959"/>
    <w:rsid w:val="00482ED1"/>
    <w:rsid w:val="00484B00"/>
    <w:rsid w:val="00484EDA"/>
    <w:rsid w:val="004A0C5F"/>
    <w:rsid w:val="004A2074"/>
    <w:rsid w:val="004C5BD9"/>
    <w:rsid w:val="004D5B87"/>
    <w:rsid w:val="004E7573"/>
    <w:rsid w:val="004F23C4"/>
    <w:rsid w:val="00502F3A"/>
    <w:rsid w:val="005073AE"/>
    <w:rsid w:val="005108C9"/>
    <w:rsid w:val="005154D9"/>
    <w:rsid w:val="00517F70"/>
    <w:rsid w:val="005246B6"/>
    <w:rsid w:val="00527B54"/>
    <w:rsid w:val="00531490"/>
    <w:rsid w:val="00547A59"/>
    <w:rsid w:val="005501F5"/>
    <w:rsid w:val="005534B9"/>
    <w:rsid w:val="0056267D"/>
    <w:rsid w:val="005811F1"/>
    <w:rsid w:val="00596D89"/>
    <w:rsid w:val="005A463B"/>
    <w:rsid w:val="005A5A1E"/>
    <w:rsid w:val="005A73C1"/>
    <w:rsid w:val="005A7E33"/>
    <w:rsid w:val="005B4BE5"/>
    <w:rsid w:val="005B4F23"/>
    <w:rsid w:val="005B7474"/>
    <w:rsid w:val="005B7B2B"/>
    <w:rsid w:val="005C5376"/>
    <w:rsid w:val="005D0BA5"/>
    <w:rsid w:val="005D282D"/>
    <w:rsid w:val="005D34C4"/>
    <w:rsid w:val="005D3BF4"/>
    <w:rsid w:val="005D6B25"/>
    <w:rsid w:val="005D714A"/>
    <w:rsid w:val="005E07F8"/>
    <w:rsid w:val="005E5BD6"/>
    <w:rsid w:val="005F1A91"/>
    <w:rsid w:val="005F5FCF"/>
    <w:rsid w:val="005F6829"/>
    <w:rsid w:val="0060498F"/>
    <w:rsid w:val="00617DBA"/>
    <w:rsid w:val="006228C6"/>
    <w:rsid w:val="00626C2B"/>
    <w:rsid w:val="0063112E"/>
    <w:rsid w:val="00631FED"/>
    <w:rsid w:val="006327CF"/>
    <w:rsid w:val="00640476"/>
    <w:rsid w:val="0066391E"/>
    <w:rsid w:val="00665515"/>
    <w:rsid w:val="00667712"/>
    <w:rsid w:val="00670F06"/>
    <w:rsid w:val="00672786"/>
    <w:rsid w:val="006743FE"/>
    <w:rsid w:val="006817CA"/>
    <w:rsid w:val="00683ECD"/>
    <w:rsid w:val="006855DE"/>
    <w:rsid w:val="006A492F"/>
    <w:rsid w:val="006A78D2"/>
    <w:rsid w:val="006B464D"/>
    <w:rsid w:val="006C519C"/>
    <w:rsid w:val="006D58B7"/>
    <w:rsid w:val="006E0005"/>
    <w:rsid w:val="006E2E0E"/>
    <w:rsid w:val="006E5EB7"/>
    <w:rsid w:val="006F2C6D"/>
    <w:rsid w:val="007044C2"/>
    <w:rsid w:val="007050C2"/>
    <w:rsid w:val="00717DB1"/>
    <w:rsid w:val="00733E21"/>
    <w:rsid w:val="00736B20"/>
    <w:rsid w:val="00737458"/>
    <w:rsid w:val="00740A5B"/>
    <w:rsid w:val="00744E03"/>
    <w:rsid w:val="00746591"/>
    <w:rsid w:val="007572B2"/>
    <w:rsid w:val="00757D59"/>
    <w:rsid w:val="007624B1"/>
    <w:rsid w:val="00763F92"/>
    <w:rsid w:val="00764C39"/>
    <w:rsid w:val="00765216"/>
    <w:rsid w:val="00765322"/>
    <w:rsid w:val="007766FC"/>
    <w:rsid w:val="00780333"/>
    <w:rsid w:val="00781C10"/>
    <w:rsid w:val="00782F87"/>
    <w:rsid w:val="00786DF5"/>
    <w:rsid w:val="007A6524"/>
    <w:rsid w:val="007A6A26"/>
    <w:rsid w:val="007B0FE8"/>
    <w:rsid w:val="007D127C"/>
    <w:rsid w:val="007D472B"/>
    <w:rsid w:val="007E02AE"/>
    <w:rsid w:val="007F0DCC"/>
    <w:rsid w:val="007F47AD"/>
    <w:rsid w:val="008042C9"/>
    <w:rsid w:val="00811DD7"/>
    <w:rsid w:val="00813C58"/>
    <w:rsid w:val="00813D37"/>
    <w:rsid w:val="00817075"/>
    <w:rsid w:val="00817233"/>
    <w:rsid w:val="00822213"/>
    <w:rsid w:val="00831F79"/>
    <w:rsid w:val="00834D74"/>
    <w:rsid w:val="00835A38"/>
    <w:rsid w:val="008401B3"/>
    <w:rsid w:val="00841B66"/>
    <w:rsid w:val="0085688E"/>
    <w:rsid w:val="008616F2"/>
    <w:rsid w:val="00861D96"/>
    <w:rsid w:val="00864BB9"/>
    <w:rsid w:val="00873CCE"/>
    <w:rsid w:val="00875856"/>
    <w:rsid w:val="008862DB"/>
    <w:rsid w:val="00886998"/>
    <w:rsid w:val="00892180"/>
    <w:rsid w:val="00897409"/>
    <w:rsid w:val="008A0FF8"/>
    <w:rsid w:val="008A24DF"/>
    <w:rsid w:val="008A4E18"/>
    <w:rsid w:val="008A713B"/>
    <w:rsid w:val="008A74CC"/>
    <w:rsid w:val="008B46EE"/>
    <w:rsid w:val="008B5074"/>
    <w:rsid w:val="008C62EC"/>
    <w:rsid w:val="008D08A5"/>
    <w:rsid w:val="008D6D1E"/>
    <w:rsid w:val="008F0DF1"/>
    <w:rsid w:val="008F40A5"/>
    <w:rsid w:val="008F71C3"/>
    <w:rsid w:val="008F7C84"/>
    <w:rsid w:val="00900333"/>
    <w:rsid w:val="00905D69"/>
    <w:rsid w:val="00936E85"/>
    <w:rsid w:val="00947228"/>
    <w:rsid w:val="00951D89"/>
    <w:rsid w:val="00954E0A"/>
    <w:rsid w:val="00964715"/>
    <w:rsid w:val="00976333"/>
    <w:rsid w:val="00982719"/>
    <w:rsid w:val="009846F4"/>
    <w:rsid w:val="00990658"/>
    <w:rsid w:val="009A1D0A"/>
    <w:rsid w:val="009A5E91"/>
    <w:rsid w:val="009A789A"/>
    <w:rsid w:val="009B14CE"/>
    <w:rsid w:val="009C51E7"/>
    <w:rsid w:val="009C58B4"/>
    <w:rsid w:val="009D0D1D"/>
    <w:rsid w:val="009D140D"/>
    <w:rsid w:val="009D6188"/>
    <w:rsid w:val="009E1573"/>
    <w:rsid w:val="009E2252"/>
    <w:rsid w:val="009F00BA"/>
    <w:rsid w:val="009F7963"/>
    <w:rsid w:val="00A01D86"/>
    <w:rsid w:val="00A04226"/>
    <w:rsid w:val="00A05C69"/>
    <w:rsid w:val="00A07A71"/>
    <w:rsid w:val="00A1085A"/>
    <w:rsid w:val="00A12E28"/>
    <w:rsid w:val="00A13597"/>
    <w:rsid w:val="00A222A0"/>
    <w:rsid w:val="00A26AF1"/>
    <w:rsid w:val="00A30D99"/>
    <w:rsid w:val="00A3486E"/>
    <w:rsid w:val="00A37ABA"/>
    <w:rsid w:val="00A40993"/>
    <w:rsid w:val="00A40F7B"/>
    <w:rsid w:val="00A44660"/>
    <w:rsid w:val="00A66F15"/>
    <w:rsid w:val="00A675D0"/>
    <w:rsid w:val="00A741F1"/>
    <w:rsid w:val="00A80E84"/>
    <w:rsid w:val="00A81168"/>
    <w:rsid w:val="00AB2F3D"/>
    <w:rsid w:val="00AC1A3D"/>
    <w:rsid w:val="00AC215F"/>
    <w:rsid w:val="00AC28F5"/>
    <w:rsid w:val="00AC441A"/>
    <w:rsid w:val="00AC617A"/>
    <w:rsid w:val="00AD057B"/>
    <w:rsid w:val="00AD104F"/>
    <w:rsid w:val="00AD16CA"/>
    <w:rsid w:val="00AD6225"/>
    <w:rsid w:val="00AE2B70"/>
    <w:rsid w:val="00AF43A9"/>
    <w:rsid w:val="00B05EEA"/>
    <w:rsid w:val="00B158EE"/>
    <w:rsid w:val="00B16482"/>
    <w:rsid w:val="00B20F70"/>
    <w:rsid w:val="00B259C5"/>
    <w:rsid w:val="00B27DDA"/>
    <w:rsid w:val="00B313B9"/>
    <w:rsid w:val="00B3531E"/>
    <w:rsid w:val="00B4506C"/>
    <w:rsid w:val="00B56534"/>
    <w:rsid w:val="00B66760"/>
    <w:rsid w:val="00B72373"/>
    <w:rsid w:val="00B86D27"/>
    <w:rsid w:val="00BA1C24"/>
    <w:rsid w:val="00BA40A2"/>
    <w:rsid w:val="00BB4B43"/>
    <w:rsid w:val="00BB5056"/>
    <w:rsid w:val="00BB6754"/>
    <w:rsid w:val="00BC2477"/>
    <w:rsid w:val="00BC2818"/>
    <w:rsid w:val="00BC6C12"/>
    <w:rsid w:val="00BD39D5"/>
    <w:rsid w:val="00BD567B"/>
    <w:rsid w:val="00BD5E43"/>
    <w:rsid w:val="00BE5B72"/>
    <w:rsid w:val="00BE79A7"/>
    <w:rsid w:val="00BF2B69"/>
    <w:rsid w:val="00BF312C"/>
    <w:rsid w:val="00C02E11"/>
    <w:rsid w:val="00C04A90"/>
    <w:rsid w:val="00C10E89"/>
    <w:rsid w:val="00C160EC"/>
    <w:rsid w:val="00C24AD1"/>
    <w:rsid w:val="00C32365"/>
    <w:rsid w:val="00C36B74"/>
    <w:rsid w:val="00C42CFE"/>
    <w:rsid w:val="00C63B23"/>
    <w:rsid w:val="00C65C5C"/>
    <w:rsid w:val="00C665E3"/>
    <w:rsid w:val="00C779A5"/>
    <w:rsid w:val="00C8265B"/>
    <w:rsid w:val="00C83FBE"/>
    <w:rsid w:val="00C8448C"/>
    <w:rsid w:val="00C8548A"/>
    <w:rsid w:val="00C90D41"/>
    <w:rsid w:val="00C959A4"/>
    <w:rsid w:val="00CA0418"/>
    <w:rsid w:val="00CB1F99"/>
    <w:rsid w:val="00CB4B04"/>
    <w:rsid w:val="00CB565D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01B8E"/>
    <w:rsid w:val="00D2695D"/>
    <w:rsid w:val="00D3224A"/>
    <w:rsid w:val="00D4620F"/>
    <w:rsid w:val="00D5367E"/>
    <w:rsid w:val="00D55033"/>
    <w:rsid w:val="00D55BF3"/>
    <w:rsid w:val="00D561D6"/>
    <w:rsid w:val="00D60841"/>
    <w:rsid w:val="00D615F1"/>
    <w:rsid w:val="00D66C52"/>
    <w:rsid w:val="00D710D2"/>
    <w:rsid w:val="00D74DB4"/>
    <w:rsid w:val="00D7712B"/>
    <w:rsid w:val="00D86C87"/>
    <w:rsid w:val="00D90FF5"/>
    <w:rsid w:val="00D956B6"/>
    <w:rsid w:val="00D96F6A"/>
    <w:rsid w:val="00DA0B55"/>
    <w:rsid w:val="00DA37ED"/>
    <w:rsid w:val="00DA3BBA"/>
    <w:rsid w:val="00DA5D6E"/>
    <w:rsid w:val="00DB3E70"/>
    <w:rsid w:val="00DB65F5"/>
    <w:rsid w:val="00DB6699"/>
    <w:rsid w:val="00DC4602"/>
    <w:rsid w:val="00DC55A3"/>
    <w:rsid w:val="00DC7BC0"/>
    <w:rsid w:val="00DD11C1"/>
    <w:rsid w:val="00DD288B"/>
    <w:rsid w:val="00DD6B4B"/>
    <w:rsid w:val="00DD7E40"/>
    <w:rsid w:val="00DE516A"/>
    <w:rsid w:val="00DE5505"/>
    <w:rsid w:val="00DE7501"/>
    <w:rsid w:val="00DF0080"/>
    <w:rsid w:val="00DF6E3F"/>
    <w:rsid w:val="00E0404A"/>
    <w:rsid w:val="00E107B8"/>
    <w:rsid w:val="00E11A80"/>
    <w:rsid w:val="00E147FD"/>
    <w:rsid w:val="00E33347"/>
    <w:rsid w:val="00E3381F"/>
    <w:rsid w:val="00E50617"/>
    <w:rsid w:val="00E51955"/>
    <w:rsid w:val="00E70937"/>
    <w:rsid w:val="00E70AE7"/>
    <w:rsid w:val="00E736C4"/>
    <w:rsid w:val="00E76A26"/>
    <w:rsid w:val="00E8086C"/>
    <w:rsid w:val="00E8139F"/>
    <w:rsid w:val="00E95F0C"/>
    <w:rsid w:val="00E97091"/>
    <w:rsid w:val="00EA367F"/>
    <w:rsid w:val="00EA3EC5"/>
    <w:rsid w:val="00EA63FB"/>
    <w:rsid w:val="00EB42A2"/>
    <w:rsid w:val="00EB432D"/>
    <w:rsid w:val="00EB5344"/>
    <w:rsid w:val="00EB6E34"/>
    <w:rsid w:val="00EC5392"/>
    <w:rsid w:val="00EC5E56"/>
    <w:rsid w:val="00EC6603"/>
    <w:rsid w:val="00EE25FD"/>
    <w:rsid w:val="00EE75CC"/>
    <w:rsid w:val="00EF26BA"/>
    <w:rsid w:val="00F10508"/>
    <w:rsid w:val="00F11A35"/>
    <w:rsid w:val="00F12014"/>
    <w:rsid w:val="00F12582"/>
    <w:rsid w:val="00F13DA3"/>
    <w:rsid w:val="00F2629E"/>
    <w:rsid w:val="00F31D66"/>
    <w:rsid w:val="00F325D3"/>
    <w:rsid w:val="00F45B5D"/>
    <w:rsid w:val="00F56473"/>
    <w:rsid w:val="00F7001B"/>
    <w:rsid w:val="00F723C7"/>
    <w:rsid w:val="00F86929"/>
    <w:rsid w:val="00F94592"/>
    <w:rsid w:val="00F94622"/>
    <w:rsid w:val="00FA68C6"/>
    <w:rsid w:val="00FA7B80"/>
    <w:rsid w:val="00FB3022"/>
    <w:rsid w:val="00FB5F64"/>
    <w:rsid w:val="00FC1EB8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5A5A1E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8B5074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8B5074"/>
  </w:style>
  <w:style w:type="paragraph" w:styleId="Kopfzeile">
    <w:name w:val="header"/>
    <w:basedOn w:val="Standard"/>
    <w:link w:val="KopfzeileZchn"/>
    <w:uiPriority w:val="99"/>
    <w:unhideWhenUsed/>
    <w:rsid w:val="005811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11F1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811F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11F1"/>
    <w:rPr>
      <w:rFonts w:ascii="Trebuchet MS" w:hAnsi="Trebuchet MS" w:cs="Times New Roman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581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5A5A1E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8B5074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8B5074"/>
  </w:style>
  <w:style w:type="paragraph" w:styleId="Kopfzeile">
    <w:name w:val="header"/>
    <w:basedOn w:val="Standard"/>
    <w:link w:val="KopfzeileZchn"/>
    <w:uiPriority w:val="99"/>
    <w:unhideWhenUsed/>
    <w:rsid w:val="005811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11F1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811F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11F1"/>
    <w:rPr>
      <w:rFonts w:ascii="Trebuchet MS" w:hAnsi="Trebuchet MS" w:cs="Times New Roman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58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Steinsberg Axel, Mag, WKÖ Up</dc:creator>
  <cp:lastModifiedBy>Buchegger Andre, Mag, WKÖ BSI</cp:lastModifiedBy>
  <cp:revision>2</cp:revision>
  <cp:lastPrinted>2014-12-15T14:38:00Z</cp:lastPrinted>
  <dcterms:created xsi:type="dcterms:W3CDTF">2014-12-15T15:12:00Z</dcterms:created>
  <dcterms:modified xsi:type="dcterms:W3CDTF">2014-12-15T15:12:00Z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-809998461</vt:i4>
  </property>
  <property fmtid="{D5CDD505-2E9C-101B-9397-08002B2CF9AE}" pid="3" name="_NewReviewCycle">
    <vt:lpwstr/>
  </property>
  <property fmtid="{D5CDD505-2E9C-101B-9397-08002B2CF9AE}" pid="4" name="_EmailSubject">
    <vt:lpwstr>Zur Begutachtung: Novelle des Emissionszertifikategesetzes 2011 gemäß EU-VO Nr. 421/2014 („ETS-Luftfahrt“) sowie zur Behebung einiger weiterer Umsetzungsmängel auch in Bezug auf ETS-Anlagen</vt:lpwstr>
  </property>
  <property fmtid="{D5CDD505-2E9C-101B-9397-08002B2CF9AE}" pid="5" name="_AuthorEmail">
    <vt:lpwstr>Andre.Buchegger@wko.at</vt:lpwstr>
  </property>
  <property fmtid="{D5CDD505-2E9C-101B-9397-08002B2CF9AE}" pid="6" name="_AuthorEmailDisplayName">
    <vt:lpwstr>Buchegger Andre, Mag, WKÖ BSI</vt:lpwstr>
  </property>
  <property fmtid="{D5CDD505-2E9C-101B-9397-08002B2CF9AE}" pid="7" name="_PreviousAdHocReviewCycleID">
    <vt:i4>944992100</vt:i4>
  </property>
</Properties>
</file>